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line="875" w:lineRule="exact"/>
        <w:jc w:val="center"/>
        <w:rPr>
          <w:rFonts w:hint="eastAsia" w:asciiTheme="majorEastAsia" w:hAnsiTheme="majorEastAsia" w:eastAsiaTheme="majorEastAsia" w:cstheme="majorEastAsia"/>
          <w:b/>
          <w:color w:val="000000"/>
          <w:spacing w:val="3"/>
          <w:sz w:val="36"/>
          <w:szCs w:val="36"/>
          <w:lang w:eastAsia="zh-CN"/>
        </w:rPr>
      </w:pPr>
      <w:r>
        <w:rPr>
          <w:rFonts w:hint="eastAsia" w:asciiTheme="majorEastAsia" w:hAnsiTheme="majorEastAsia" w:eastAsiaTheme="majorEastAsia" w:cstheme="majorEastAsia"/>
          <w:b/>
          <w:bCs w:val="0"/>
          <w:color w:val="000000"/>
          <w:sz w:val="36"/>
          <w:szCs w:val="36"/>
          <w:lang w:eastAsia="zh-CN"/>
        </w:rPr>
        <w:t>202</w:t>
      </w:r>
      <w:r>
        <w:rPr>
          <w:rFonts w:hint="eastAsia" w:asciiTheme="majorEastAsia" w:hAnsiTheme="majorEastAsia" w:eastAsiaTheme="majorEastAsia" w:cstheme="majorEastAsia"/>
          <w:b/>
          <w:bCs w:val="0"/>
          <w:color w:val="000000"/>
          <w:sz w:val="36"/>
          <w:szCs w:val="36"/>
          <w:lang w:val="en-US" w:eastAsia="zh-CN"/>
        </w:rPr>
        <w:t>2</w:t>
      </w:r>
      <w:r>
        <w:rPr>
          <w:rFonts w:hint="eastAsia" w:asciiTheme="majorEastAsia" w:hAnsiTheme="majorEastAsia" w:eastAsiaTheme="majorEastAsia" w:cstheme="majorEastAsia"/>
          <w:b/>
          <w:color w:val="000000"/>
          <w:spacing w:val="3"/>
          <w:sz w:val="36"/>
          <w:szCs w:val="36"/>
          <w:lang w:eastAsia="zh-CN"/>
        </w:rPr>
        <w:t>年度</w:t>
      </w:r>
    </w:p>
    <w:p>
      <w:pPr>
        <w:widowControl w:val="0"/>
        <w:autoSpaceDE w:val="0"/>
        <w:autoSpaceDN w:val="0"/>
        <w:spacing w:line="875" w:lineRule="exact"/>
        <w:jc w:val="center"/>
        <w:rPr>
          <w:rFonts w:hint="eastAsia" w:ascii="宋体" w:hAnsi="宋体" w:cs="宋体"/>
          <w:b/>
          <w:color w:val="000000"/>
          <w:spacing w:val="3"/>
          <w:sz w:val="36"/>
          <w:szCs w:val="36"/>
          <w:lang w:eastAsia="zh-CN"/>
        </w:rPr>
      </w:pPr>
      <w:r>
        <w:rPr>
          <w:rFonts w:hint="eastAsia" w:ascii="NHNWFP+TimesNewRomanPS-BoldMT" w:hAnsi="Calibri"/>
          <w:b/>
          <w:color w:val="000000"/>
          <w:sz w:val="36"/>
          <w:szCs w:val="36"/>
          <w:lang w:eastAsia="zh-CN"/>
        </w:rPr>
        <w:t>商业饮食服务业发展中心</w:t>
      </w:r>
      <w:r>
        <w:rPr>
          <w:rFonts w:ascii="宋体" w:hAnsi="宋体" w:cs="宋体"/>
          <w:b/>
          <w:color w:val="000000"/>
          <w:spacing w:val="3"/>
          <w:sz w:val="36"/>
          <w:szCs w:val="36"/>
          <w:lang w:eastAsia="zh-CN"/>
        </w:rPr>
        <w:t>部门决算</w:t>
      </w:r>
    </w:p>
    <w:p>
      <w:pPr>
        <w:widowControl w:val="0"/>
        <w:autoSpaceDE w:val="0"/>
        <w:autoSpaceDN w:val="0"/>
        <w:spacing w:line="875" w:lineRule="exact"/>
        <w:jc w:val="center"/>
        <w:rPr>
          <w:rFonts w:hint="eastAsia" w:ascii="NHNWFP+TimesNewRomanPS-BoldMT" w:hAnsi="Calibri"/>
          <w:b/>
          <w:color w:val="000000"/>
          <w:sz w:val="36"/>
          <w:szCs w:val="36"/>
          <w:lang w:eastAsia="zh-CN"/>
        </w:rPr>
      </w:pPr>
      <w:r>
        <w:rPr>
          <w:rFonts w:hint="eastAsia" w:ascii="NHNWFP+TimesNewRomanPS-BoldMT" w:hAnsi="Calibri"/>
          <w:b/>
          <w:color w:val="000000"/>
          <w:sz w:val="36"/>
          <w:szCs w:val="36"/>
          <w:lang w:eastAsia="zh-CN"/>
        </w:rPr>
        <w:t>目录</w:t>
      </w:r>
    </w:p>
    <w:p>
      <w:pPr>
        <w:widowControl w:val="0"/>
        <w:autoSpaceDE w:val="0"/>
        <w:autoSpaceDN w:val="0"/>
        <w:spacing w:line="875" w:lineRule="exact"/>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eastAsia="zh-CN"/>
        </w:rPr>
        <w:t xml:space="preserve">第一部分 </w:t>
      </w:r>
      <w:r>
        <w:rPr>
          <w:rFonts w:hint="eastAsia" w:ascii="仿宋" w:hAnsi="仿宋" w:eastAsia="仿宋" w:cs="仿宋"/>
          <w:b/>
          <w:color w:val="000000"/>
          <w:sz w:val="28"/>
          <w:szCs w:val="28"/>
          <w:lang w:val="en-US" w:eastAsia="zh-CN"/>
        </w:rPr>
        <w:t>基本情况</w:t>
      </w:r>
    </w:p>
    <w:p>
      <w:pPr>
        <w:widowControl w:val="0"/>
        <w:autoSpaceDE w:val="0"/>
        <w:autoSpaceDN w:val="0"/>
        <w:spacing w:line="875"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一、部门职责</w:t>
      </w:r>
    </w:p>
    <w:p>
      <w:pPr>
        <w:widowControl w:val="0"/>
        <w:autoSpaceDE w:val="0"/>
        <w:autoSpaceDN w:val="0"/>
        <w:spacing w:line="875"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二、机构设置</w:t>
      </w:r>
    </w:p>
    <w:p>
      <w:pPr>
        <w:widowControl w:val="0"/>
        <w:autoSpaceDE w:val="0"/>
        <w:autoSpaceDN w:val="0"/>
        <w:spacing w:line="875" w:lineRule="exact"/>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第二部分 202</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年度部门决算表</w:t>
      </w:r>
    </w:p>
    <w:p>
      <w:pPr>
        <w:widowControl w:val="0"/>
        <w:autoSpaceDE w:val="0"/>
        <w:autoSpaceDN w:val="0"/>
        <w:spacing w:line="875"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一、收入支出决算总</w:t>
      </w:r>
      <w:bookmarkStart w:id="0" w:name="_GoBack"/>
      <w:bookmarkEnd w:id="0"/>
      <w:r>
        <w:rPr>
          <w:rFonts w:hint="eastAsia" w:ascii="仿宋" w:hAnsi="仿宋" w:eastAsia="仿宋" w:cs="仿宋"/>
          <w:color w:val="000000"/>
          <w:sz w:val="28"/>
          <w:szCs w:val="28"/>
          <w:lang w:eastAsia="zh-CN"/>
        </w:rPr>
        <w:t>表</w:t>
      </w:r>
    </w:p>
    <w:p>
      <w:pPr>
        <w:widowControl w:val="0"/>
        <w:autoSpaceDE w:val="0"/>
        <w:autoSpaceDN w:val="0"/>
        <w:spacing w:line="875"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二、收入决算总表</w:t>
      </w:r>
    </w:p>
    <w:p>
      <w:pPr>
        <w:widowControl w:val="0"/>
        <w:autoSpaceDE w:val="0"/>
        <w:autoSpaceDN w:val="0"/>
        <w:spacing w:line="875"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三、支出决算总表</w:t>
      </w:r>
    </w:p>
    <w:p>
      <w:pPr>
        <w:widowControl w:val="0"/>
        <w:autoSpaceDE w:val="0"/>
        <w:autoSpaceDN w:val="0"/>
        <w:spacing w:line="875" w:lineRule="exact"/>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第三</w:t>
      </w:r>
      <w:r>
        <w:rPr>
          <w:rFonts w:hint="eastAsia" w:ascii="仿宋" w:hAnsi="仿宋" w:eastAsia="仿宋" w:cs="仿宋"/>
          <w:b/>
          <w:color w:val="000000"/>
          <w:sz w:val="28"/>
          <w:szCs w:val="28"/>
          <w:lang w:val="en-US" w:eastAsia="zh-CN"/>
        </w:rPr>
        <w:t>部分</w:t>
      </w:r>
      <w:r>
        <w:rPr>
          <w:rFonts w:hint="eastAsia" w:ascii="仿宋" w:hAnsi="仿宋" w:eastAsia="仿宋" w:cs="仿宋"/>
          <w:b/>
          <w:color w:val="000000"/>
          <w:sz w:val="28"/>
          <w:szCs w:val="28"/>
          <w:lang w:eastAsia="zh-CN"/>
        </w:rPr>
        <w:t xml:space="preserve"> 202</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年度部门决算情况说明</w:t>
      </w:r>
    </w:p>
    <w:p>
      <w:pPr>
        <w:widowControl w:val="0"/>
        <w:autoSpaceDE w:val="0"/>
        <w:autoSpaceDN w:val="0"/>
        <w:spacing w:line="875"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一、收入</w:t>
      </w:r>
      <w:r>
        <w:rPr>
          <w:rFonts w:hint="eastAsia" w:ascii="仿宋" w:hAnsi="仿宋" w:eastAsia="仿宋" w:cs="仿宋"/>
          <w:color w:val="000000"/>
          <w:sz w:val="28"/>
          <w:szCs w:val="28"/>
          <w:lang w:val="en-US" w:eastAsia="zh-CN"/>
        </w:rPr>
        <w:t>支出决算总体</w:t>
      </w:r>
      <w:r>
        <w:rPr>
          <w:rFonts w:hint="eastAsia" w:ascii="仿宋" w:hAnsi="仿宋" w:eastAsia="仿宋" w:cs="仿宋"/>
          <w:color w:val="000000"/>
          <w:sz w:val="28"/>
          <w:szCs w:val="28"/>
          <w:lang w:eastAsia="zh-CN"/>
        </w:rPr>
        <w:t>情况说明</w:t>
      </w:r>
    </w:p>
    <w:p>
      <w:pPr>
        <w:widowControl w:val="0"/>
        <w:autoSpaceDE w:val="0"/>
        <w:autoSpaceDN w:val="0"/>
        <w:spacing w:line="875"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lang w:val="en-US" w:eastAsia="zh-CN"/>
        </w:rPr>
        <w:t>收入决算情况说明</w:t>
      </w:r>
    </w:p>
    <w:p>
      <w:pPr>
        <w:widowControl w:val="0"/>
        <w:autoSpaceDE w:val="0"/>
        <w:autoSpaceDN w:val="0"/>
        <w:spacing w:line="875" w:lineRule="exact"/>
        <w:rPr>
          <w:rFonts w:hint="eastAsia" w:ascii="仿宋" w:hAnsi="仿宋" w:eastAsia="仿宋" w:cs="仿宋"/>
          <w:sz w:val="28"/>
          <w:szCs w:val="28"/>
          <w:lang w:val="en-US" w:eastAsia="zh-CN"/>
        </w:rPr>
      </w:pP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lang w:val="en-US" w:eastAsia="zh-CN"/>
        </w:rPr>
        <w:t>支出决算</w:t>
      </w:r>
      <w:r>
        <w:rPr>
          <w:rFonts w:hint="eastAsia" w:ascii="仿宋" w:hAnsi="仿宋" w:eastAsia="仿宋" w:cs="仿宋"/>
          <w:color w:val="000000"/>
          <w:sz w:val="28"/>
          <w:szCs w:val="28"/>
          <w:lang w:eastAsia="zh-CN"/>
        </w:rPr>
        <w:t>情况说明</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四、</w:t>
      </w:r>
      <w:r>
        <w:rPr>
          <w:rFonts w:hint="eastAsia" w:ascii="仿宋" w:hAnsi="仿宋" w:eastAsia="仿宋" w:cs="仿宋"/>
          <w:sz w:val="28"/>
          <w:szCs w:val="28"/>
          <w:lang w:val="en-US" w:eastAsia="zh-CN"/>
        </w:rPr>
        <w:t>国有资产占用情况</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五、2022年绩效评价情况的说明</w:t>
      </w:r>
    </w:p>
    <w:p>
      <w:pPr>
        <w:widowControl w:val="0"/>
        <w:autoSpaceDE w:val="0"/>
        <w:autoSpaceDN w:val="0"/>
        <w:spacing w:line="875"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第四部分 名词解释</w:t>
      </w:r>
    </w:p>
    <w:p>
      <w:pPr>
        <w:ind w:firstLine="422" w:firstLineChars="150"/>
        <w:rPr>
          <w:rFonts w:hint="eastAsia" w:ascii="仿宋" w:hAnsi="仿宋" w:eastAsia="仿宋" w:cs="仿宋"/>
          <w:b/>
          <w:sz w:val="28"/>
          <w:szCs w:val="28"/>
          <w:lang w:eastAsia="zh-CN"/>
        </w:rPr>
      </w:pPr>
    </w:p>
    <w:p>
      <w:pPr>
        <w:ind w:firstLine="422" w:firstLineChars="150"/>
        <w:rPr>
          <w:rFonts w:hint="eastAsia" w:asciiTheme="minorEastAsia" w:hAnsiTheme="minorEastAsia"/>
          <w:b/>
          <w:sz w:val="28"/>
          <w:szCs w:val="28"/>
          <w:lang w:eastAsia="zh-CN"/>
        </w:rPr>
      </w:pPr>
    </w:p>
    <w:p>
      <w:pPr>
        <w:ind w:firstLine="422" w:firstLineChars="150"/>
        <w:rPr>
          <w:rFonts w:hint="eastAsia" w:asciiTheme="minorEastAsia" w:hAnsiTheme="minorEastAsia"/>
          <w:b/>
          <w:sz w:val="28"/>
          <w:szCs w:val="28"/>
          <w:lang w:eastAsia="zh-CN"/>
        </w:rPr>
      </w:pPr>
    </w:p>
    <w:p>
      <w:pPr>
        <w:ind w:firstLine="422" w:firstLineChars="150"/>
        <w:rPr>
          <w:rFonts w:hint="eastAsia" w:asciiTheme="minorEastAsia" w:hAnsiTheme="minorEastAsia"/>
          <w:b/>
          <w:sz w:val="28"/>
          <w:szCs w:val="28"/>
          <w:lang w:eastAsia="zh-CN"/>
        </w:rPr>
      </w:pPr>
    </w:p>
    <w:p>
      <w:pPr>
        <w:ind w:firstLine="422" w:firstLineChars="150"/>
        <w:rPr>
          <w:rFonts w:asciiTheme="minorEastAsia" w:hAnsiTheme="minorEastAsia"/>
          <w:b/>
          <w:sz w:val="28"/>
          <w:szCs w:val="28"/>
          <w:lang w:eastAsia="zh-CN"/>
        </w:rPr>
      </w:pPr>
      <w:r>
        <w:rPr>
          <w:rFonts w:hint="eastAsia" w:asciiTheme="minorEastAsia" w:hAnsiTheme="minorEastAsia"/>
          <w:b/>
          <w:sz w:val="28"/>
          <w:szCs w:val="28"/>
          <w:lang w:eastAsia="zh-CN"/>
        </w:rPr>
        <w:t xml:space="preserve">第一部分 </w:t>
      </w:r>
      <w:r>
        <w:rPr>
          <w:rFonts w:hint="eastAsia" w:asciiTheme="minorEastAsia" w:hAnsiTheme="minorEastAsia"/>
          <w:b/>
          <w:color w:val="000000"/>
          <w:sz w:val="28"/>
          <w:szCs w:val="28"/>
          <w:lang w:eastAsia="zh-CN"/>
        </w:rPr>
        <w:t>中心</w:t>
      </w:r>
      <w:r>
        <w:rPr>
          <w:rFonts w:hint="eastAsia" w:asciiTheme="minorEastAsia" w:hAnsiTheme="minorEastAsia"/>
          <w:b/>
          <w:color w:val="000000"/>
          <w:sz w:val="28"/>
          <w:szCs w:val="28"/>
          <w:lang w:val="en-US" w:eastAsia="zh-CN"/>
        </w:rPr>
        <w:t>基本</w:t>
      </w:r>
      <w:r>
        <w:rPr>
          <w:rFonts w:hint="eastAsia" w:asciiTheme="minorEastAsia" w:hAnsiTheme="minorEastAsia"/>
          <w:b/>
          <w:sz w:val="28"/>
          <w:szCs w:val="28"/>
          <w:lang w:eastAsia="zh-CN"/>
        </w:rPr>
        <w:t>概况</w:t>
      </w:r>
    </w:p>
    <w:p>
      <w:pPr>
        <w:widowControl w:val="0"/>
        <w:autoSpaceDE w:val="0"/>
        <w:autoSpaceDN w:val="0"/>
        <w:spacing w:line="875" w:lineRule="exact"/>
        <w:ind w:firstLine="422" w:firstLineChars="150"/>
        <w:rPr>
          <w:rFonts w:asciiTheme="minorEastAsia" w:hAnsiTheme="minorEastAsia"/>
          <w:b/>
          <w:color w:val="000000"/>
          <w:sz w:val="28"/>
          <w:szCs w:val="28"/>
          <w:lang w:eastAsia="zh-CN"/>
        </w:rPr>
      </w:pPr>
      <w:r>
        <w:rPr>
          <w:rFonts w:hint="eastAsia" w:asciiTheme="minorEastAsia" w:hAnsiTheme="minorEastAsia"/>
          <w:b/>
          <w:color w:val="000000"/>
          <w:sz w:val="28"/>
          <w:szCs w:val="28"/>
          <w:lang w:eastAsia="zh-CN"/>
        </w:rPr>
        <w:t>一、部门职责</w:t>
      </w:r>
    </w:p>
    <w:p>
      <w:pPr>
        <w:spacing w:line="360" w:lineRule="auto"/>
        <w:ind w:firstLine="560" w:firstLineChars="200"/>
        <w:jc w:val="both"/>
        <w:rPr>
          <w:rFonts w:cs="Arial Narrow" w:asciiTheme="minorEastAsia" w:hAnsiTheme="minorEastAsia"/>
          <w:sz w:val="28"/>
          <w:szCs w:val="28"/>
        </w:rPr>
      </w:pPr>
      <w:r>
        <w:rPr>
          <w:rFonts w:cs="Arial Narrow" w:asciiTheme="minorEastAsia" w:hAnsiTheme="minorEastAsia"/>
          <w:sz w:val="28"/>
          <w:szCs w:val="28"/>
        </w:rPr>
        <w:t>商业饮食服务业发展中心成立于</w:t>
      </w:r>
      <w:r>
        <w:rPr>
          <w:rFonts w:hint="eastAsia" w:cs="Arial Narrow" w:asciiTheme="minorEastAsia" w:hAnsiTheme="minorEastAsia"/>
          <w:sz w:val="28"/>
          <w:szCs w:val="28"/>
        </w:rPr>
        <w:t>1994年经中央编制办公室批准设立，事业单位法人证书有效日期至</w:t>
      </w:r>
      <w:r>
        <w:rPr>
          <w:rFonts w:cs="Arial Narrow" w:asciiTheme="minorEastAsia" w:hAnsiTheme="minorEastAsia"/>
          <w:sz w:val="28"/>
          <w:szCs w:val="28"/>
        </w:rPr>
        <w:t>2026</w:t>
      </w:r>
      <w:r>
        <w:rPr>
          <w:rFonts w:hint="eastAsia" w:cs="Arial Narrow" w:asciiTheme="minorEastAsia" w:hAnsiTheme="minorEastAsia"/>
          <w:sz w:val="28"/>
          <w:szCs w:val="28"/>
        </w:rPr>
        <w:t>年</w:t>
      </w:r>
      <w:r>
        <w:rPr>
          <w:rFonts w:cs="Arial Narrow" w:asciiTheme="minorEastAsia" w:hAnsiTheme="minorEastAsia"/>
          <w:sz w:val="28"/>
          <w:szCs w:val="28"/>
        </w:rPr>
        <w:t>11</w:t>
      </w:r>
      <w:r>
        <w:rPr>
          <w:rFonts w:hint="eastAsia" w:cs="Arial Narrow" w:asciiTheme="minorEastAsia" w:hAnsiTheme="minorEastAsia"/>
          <w:sz w:val="28"/>
          <w:szCs w:val="28"/>
        </w:rPr>
        <w:t>月</w:t>
      </w:r>
      <w:r>
        <w:rPr>
          <w:rFonts w:cs="Arial Narrow" w:asciiTheme="minorEastAsia" w:hAnsiTheme="minorEastAsia"/>
          <w:sz w:val="28"/>
          <w:szCs w:val="28"/>
        </w:rPr>
        <w:t>1</w:t>
      </w:r>
      <w:r>
        <w:rPr>
          <w:rFonts w:hint="eastAsia" w:cs="Arial Narrow" w:asciiTheme="minorEastAsia" w:hAnsiTheme="minorEastAsia"/>
          <w:sz w:val="28"/>
          <w:szCs w:val="28"/>
        </w:rPr>
        <w:t>日。开办资金42万元，统一社会信用代码为121000004000191651，法定代表人徐晶龙，住所为北京市西城区月坛北街25号，业务主管单位为国务院国有资产监督管理委员会。</w:t>
      </w:r>
    </w:p>
    <w:p>
      <w:pPr>
        <w:spacing w:line="360" w:lineRule="auto"/>
        <w:ind w:firstLine="560" w:firstLineChars="200"/>
        <w:jc w:val="both"/>
        <w:rPr>
          <w:rFonts w:cs="Arial Narrow" w:asciiTheme="minorEastAsia" w:hAnsiTheme="minorEastAsia"/>
          <w:sz w:val="28"/>
          <w:szCs w:val="28"/>
        </w:rPr>
      </w:pPr>
      <w:r>
        <w:rPr>
          <w:rFonts w:hint="eastAsia" w:cs="Arial Narrow" w:asciiTheme="minorEastAsia" w:hAnsiTheme="minorEastAsia"/>
          <w:sz w:val="28"/>
          <w:szCs w:val="28"/>
        </w:rPr>
        <w:t>宗旨和业务范围：开展商业饮食服务业行业有关活动、促进行业发展、商业饮食服务业企业技术交流、技能竞赛、技术和产品展览及招商引资相关活动组织，受相关部门委托的商业饮食服务业行业规范和岗位技术要求拟定，商业饮食服务业相关行业资讯和人员培训。</w:t>
      </w:r>
    </w:p>
    <w:p>
      <w:pPr>
        <w:spacing w:line="360" w:lineRule="auto"/>
        <w:ind w:firstLine="560" w:firstLineChars="200"/>
        <w:jc w:val="both"/>
        <w:rPr>
          <w:rFonts w:cs="Arial Narrow" w:asciiTheme="minorEastAsia" w:hAnsiTheme="minorEastAsia"/>
          <w:sz w:val="28"/>
          <w:szCs w:val="28"/>
        </w:rPr>
      </w:pPr>
      <w:r>
        <w:rPr>
          <w:rFonts w:hint="eastAsia" w:cs="Arial Narrow" w:asciiTheme="minorEastAsia" w:hAnsiTheme="minorEastAsia"/>
          <w:sz w:val="28"/>
          <w:szCs w:val="28"/>
        </w:rPr>
        <w:t>商业饮食服务业发展中心是三级预算单位，属经费自理事业单位，采用的是政府会计制度，编制预算报表。</w:t>
      </w:r>
    </w:p>
    <w:p>
      <w:pPr>
        <w:ind w:firstLine="422" w:firstLineChars="150"/>
        <w:rPr>
          <w:rFonts w:cs="宋体" w:asciiTheme="minorEastAsia" w:hAnsiTheme="minorEastAsia"/>
          <w:b/>
          <w:sz w:val="28"/>
          <w:szCs w:val="28"/>
          <w:lang w:eastAsia="zh-CN"/>
        </w:rPr>
      </w:pPr>
      <w:r>
        <w:rPr>
          <w:rFonts w:hint="eastAsia" w:cs="宋体" w:asciiTheme="minorEastAsia" w:hAnsiTheme="minorEastAsia"/>
          <w:b/>
          <w:sz w:val="28"/>
          <w:szCs w:val="28"/>
          <w:lang w:eastAsia="zh-CN"/>
        </w:rPr>
        <w:t>二、机构设置</w:t>
      </w:r>
    </w:p>
    <w:p>
      <w:pPr>
        <w:ind w:firstLine="360"/>
        <w:rPr>
          <w:rFonts w:hint="eastAsia" w:cs="宋体" w:asciiTheme="minorEastAsia" w:hAnsiTheme="minorEastAsia"/>
          <w:sz w:val="28"/>
          <w:szCs w:val="28"/>
          <w:lang w:val="zh-CN" w:eastAsia="zh-CN"/>
        </w:rPr>
      </w:pPr>
      <w:r>
        <w:rPr>
          <w:rFonts w:hint="eastAsia" w:cs="宋体" w:asciiTheme="minorEastAsia" w:hAnsiTheme="minorEastAsia"/>
          <w:sz w:val="28"/>
          <w:szCs w:val="28"/>
          <w:lang w:eastAsia="zh-CN"/>
        </w:rPr>
        <w:t>根据部门决算编报要求，纳入 202</w:t>
      </w:r>
      <w:r>
        <w:rPr>
          <w:rFonts w:hint="eastAsia" w:cs="宋体" w:asciiTheme="minorEastAsia" w:hAnsiTheme="minorEastAsia"/>
          <w:sz w:val="28"/>
          <w:szCs w:val="28"/>
          <w:lang w:val="en-US" w:eastAsia="zh-CN"/>
        </w:rPr>
        <w:t>2</w:t>
      </w:r>
      <w:r>
        <w:rPr>
          <w:rFonts w:hint="eastAsia" w:cs="宋体" w:asciiTheme="minorEastAsia" w:hAnsiTheme="minorEastAsia"/>
          <w:sz w:val="28"/>
          <w:szCs w:val="28"/>
          <w:lang w:eastAsia="zh-CN"/>
        </w:rPr>
        <w:t xml:space="preserve"> 年度部门决算编报范围的单位共</w:t>
      </w:r>
      <w:r>
        <w:rPr>
          <w:rFonts w:hint="eastAsia" w:cs="宋体" w:asciiTheme="minorEastAsia" w:hAnsiTheme="minorEastAsia"/>
          <w:sz w:val="28"/>
          <w:szCs w:val="28"/>
          <w:lang w:val="en-US" w:eastAsia="zh-CN"/>
        </w:rPr>
        <w:t>1</w:t>
      </w:r>
      <w:r>
        <w:rPr>
          <w:rFonts w:hint="eastAsia" w:cs="宋体" w:asciiTheme="minorEastAsia" w:hAnsiTheme="minorEastAsia"/>
          <w:sz w:val="28"/>
          <w:szCs w:val="28"/>
          <w:lang w:eastAsia="zh-CN"/>
        </w:rPr>
        <w:t>个。</w:t>
      </w:r>
      <w:r>
        <w:rPr>
          <w:rFonts w:cs="宋体" w:asciiTheme="minorEastAsia" w:hAnsiTheme="minorEastAsia"/>
          <w:sz w:val="28"/>
          <w:szCs w:val="28"/>
          <w:lang w:eastAsia="zh-CN"/>
        </w:rPr>
        <w:t>商业饮食服务业发展中心</w:t>
      </w:r>
      <w:r>
        <w:rPr>
          <w:rFonts w:hint="eastAsia" w:cs="宋体" w:asciiTheme="minorEastAsia" w:hAnsiTheme="minorEastAsia"/>
          <w:sz w:val="28"/>
          <w:szCs w:val="28"/>
          <w:lang w:val="zh-CN" w:eastAsia="zh-CN"/>
        </w:rPr>
        <w:t>经中编办批准设立，</w:t>
      </w:r>
      <w:r>
        <w:rPr>
          <w:rFonts w:cs="宋体" w:asciiTheme="minorEastAsia" w:hAnsiTheme="minorEastAsia"/>
          <w:sz w:val="28"/>
          <w:szCs w:val="28"/>
          <w:lang w:eastAsia="zh-CN"/>
        </w:rPr>
        <w:t>事业编制人员30</w:t>
      </w:r>
      <w:r>
        <w:rPr>
          <w:rFonts w:hint="eastAsia" w:cs="宋体" w:asciiTheme="minorEastAsia" w:hAnsiTheme="minorEastAsia"/>
          <w:sz w:val="28"/>
          <w:szCs w:val="28"/>
          <w:lang w:eastAsia="zh-CN"/>
        </w:rPr>
        <w:t>人</w:t>
      </w:r>
      <w:r>
        <w:rPr>
          <w:rFonts w:cs="宋体" w:asciiTheme="minorEastAsia" w:hAnsiTheme="minorEastAsia"/>
          <w:sz w:val="28"/>
          <w:szCs w:val="28"/>
          <w:lang w:eastAsia="zh-CN"/>
        </w:rPr>
        <w:t>，年末实有人数</w:t>
      </w:r>
      <w:r>
        <w:rPr>
          <w:rFonts w:hint="eastAsia" w:cs="宋体" w:asciiTheme="minorEastAsia" w:hAnsiTheme="minorEastAsia"/>
          <w:sz w:val="28"/>
          <w:szCs w:val="28"/>
          <w:lang w:val="en-US" w:eastAsia="zh-CN"/>
        </w:rPr>
        <w:t>3</w:t>
      </w:r>
      <w:r>
        <w:rPr>
          <w:rFonts w:cs="宋体" w:asciiTheme="minorEastAsia" w:hAnsiTheme="minorEastAsia"/>
          <w:sz w:val="28"/>
          <w:szCs w:val="28"/>
          <w:lang w:eastAsia="zh-CN"/>
        </w:rPr>
        <w:t>人，其中退休人员2人。</w:t>
      </w:r>
      <w:r>
        <w:rPr>
          <w:rFonts w:hint="eastAsia" w:cs="宋体" w:asciiTheme="minorEastAsia" w:hAnsiTheme="minorEastAsia"/>
          <w:sz w:val="28"/>
          <w:szCs w:val="28"/>
          <w:lang w:val="zh-CN" w:eastAsia="zh-CN"/>
        </w:rPr>
        <w:t>代码：295002012。</w:t>
      </w:r>
      <w:r>
        <w:rPr>
          <w:rFonts w:asciiTheme="minorEastAsia" w:hAnsiTheme="minorEastAsia"/>
          <w:sz w:val="28"/>
          <w:szCs w:val="28"/>
          <w:lang w:eastAsia="zh-CN"/>
        </w:rPr>
        <w:t>20</w:t>
      </w:r>
      <w:r>
        <w:rPr>
          <w:rFonts w:hint="eastAsia" w:asciiTheme="minorEastAsia" w:hAnsiTheme="minorEastAsia"/>
          <w:sz w:val="28"/>
          <w:szCs w:val="28"/>
          <w:lang w:val="en-US" w:eastAsia="zh-CN"/>
        </w:rPr>
        <w:t>21</w:t>
      </w:r>
      <w:r>
        <w:rPr>
          <w:rFonts w:hint="eastAsia" w:cs="宋体" w:asciiTheme="minorEastAsia" w:hAnsiTheme="minorEastAsia"/>
          <w:sz w:val="28"/>
          <w:szCs w:val="28"/>
          <w:lang w:val="zh-CN" w:eastAsia="zh-CN"/>
        </w:rPr>
        <w:t>年度</w:t>
      </w:r>
      <w:r>
        <w:rPr>
          <w:rFonts w:hint="eastAsia" w:cs="宋体" w:asciiTheme="minorEastAsia" w:hAnsiTheme="minorEastAsia"/>
          <w:sz w:val="28"/>
          <w:szCs w:val="28"/>
          <w:lang w:val="en-US" w:eastAsia="zh-CN"/>
        </w:rPr>
        <w:t>，</w:t>
      </w:r>
      <w:r>
        <w:rPr>
          <w:rFonts w:hint="eastAsia" w:cs="宋体" w:asciiTheme="minorEastAsia" w:hAnsiTheme="minorEastAsia"/>
          <w:sz w:val="28"/>
          <w:szCs w:val="28"/>
          <w:lang w:val="zh-CN" w:eastAsia="zh-CN"/>
        </w:rPr>
        <w:t>分类说明如下：</w:t>
      </w:r>
    </w:p>
    <w:tbl>
      <w:tblPr>
        <w:tblStyle w:val="4"/>
        <w:tblW w:w="6940" w:type="dxa"/>
        <w:tblInd w:w="93" w:type="dxa"/>
        <w:tblLayout w:type="autofit"/>
        <w:tblCellMar>
          <w:top w:w="0" w:type="dxa"/>
          <w:left w:w="108" w:type="dxa"/>
          <w:bottom w:w="0" w:type="dxa"/>
          <w:right w:w="108" w:type="dxa"/>
        </w:tblCellMar>
      </w:tblPr>
      <w:tblGrid>
        <w:gridCol w:w="2320"/>
        <w:gridCol w:w="1540"/>
        <w:gridCol w:w="1520"/>
        <w:gridCol w:w="1560"/>
      </w:tblGrid>
      <w:tr>
        <w:tblPrEx>
          <w:tblCellMar>
            <w:top w:w="0" w:type="dxa"/>
            <w:left w:w="108" w:type="dxa"/>
            <w:bottom w:w="0" w:type="dxa"/>
            <w:right w:w="108" w:type="dxa"/>
          </w:tblCellMar>
        </w:tblPrEx>
        <w:trPr>
          <w:trHeight w:val="405" w:hRule="atLeast"/>
        </w:trPr>
        <w:tc>
          <w:tcPr>
            <w:tcW w:w="232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项目</w:t>
            </w:r>
          </w:p>
        </w:tc>
        <w:tc>
          <w:tcPr>
            <w:tcW w:w="154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数量</w:t>
            </w:r>
          </w:p>
        </w:tc>
        <w:tc>
          <w:tcPr>
            <w:tcW w:w="152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比上年增减</w:t>
            </w:r>
          </w:p>
        </w:tc>
        <w:tc>
          <w:tcPr>
            <w:tcW w:w="156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变动原因</w:t>
            </w:r>
          </w:p>
        </w:tc>
      </w:tr>
      <w:tr>
        <w:trPr>
          <w:trHeight w:val="405" w:hRule="atLeast"/>
        </w:trPr>
        <w:tc>
          <w:tcPr>
            <w:tcW w:w="232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合计</w:t>
            </w:r>
          </w:p>
        </w:tc>
        <w:tc>
          <w:tcPr>
            <w:tcW w:w="154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1</w:t>
            </w:r>
          </w:p>
        </w:tc>
        <w:tc>
          <w:tcPr>
            <w:tcW w:w="152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0</w:t>
            </w:r>
          </w:p>
        </w:tc>
        <w:tc>
          <w:tcPr>
            <w:tcW w:w="156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r>
      <w:tr>
        <w:tblPrEx>
          <w:tblCellMar>
            <w:top w:w="0" w:type="dxa"/>
            <w:left w:w="108" w:type="dxa"/>
            <w:bottom w:w="0" w:type="dxa"/>
            <w:right w:w="108" w:type="dxa"/>
          </w:tblCellMar>
        </w:tblPrEx>
        <w:trPr>
          <w:trHeight w:val="405" w:hRule="atLeast"/>
        </w:trPr>
        <w:tc>
          <w:tcPr>
            <w:tcW w:w="232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一、按单位基本性质</w:t>
            </w:r>
          </w:p>
        </w:tc>
        <w:tc>
          <w:tcPr>
            <w:tcW w:w="154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c>
          <w:tcPr>
            <w:tcW w:w="152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c>
          <w:tcPr>
            <w:tcW w:w="156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r>
      <w:tr>
        <w:tblPrEx>
          <w:tblCellMar>
            <w:top w:w="0" w:type="dxa"/>
            <w:left w:w="108" w:type="dxa"/>
            <w:bottom w:w="0" w:type="dxa"/>
            <w:right w:w="108" w:type="dxa"/>
          </w:tblCellMar>
        </w:tblPrEx>
        <w:trPr>
          <w:trHeight w:val="405" w:hRule="atLeast"/>
        </w:trPr>
        <w:tc>
          <w:tcPr>
            <w:tcW w:w="232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 xml:space="preserve">   行政单位</w:t>
            </w:r>
          </w:p>
        </w:tc>
        <w:tc>
          <w:tcPr>
            <w:tcW w:w="154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c>
          <w:tcPr>
            <w:tcW w:w="152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c>
          <w:tcPr>
            <w:tcW w:w="156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r>
      <w:tr>
        <w:tblPrEx>
          <w:tblCellMar>
            <w:top w:w="0" w:type="dxa"/>
            <w:left w:w="108" w:type="dxa"/>
            <w:bottom w:w="0" w:type="dxa"/>
            <w:right w:w="108" w:type="dxa"/>
          </w:tblCellMar>
        </w:tblPrEx>
        <w:trPr>
          <w:trHeight w:val="405" w:hRule="atLeast"/>
        </w:trPr>
        <w:tc>
          <w:tcPr>
            <w:tcW w:w="232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 xml:space="preserve">   事业单位</w:t>
            </w:r>
          </w:p>
        </w:tc>
        <w:tc>
          <w:tcPr>
            <w:tcW w:w="154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1</w:t>
            </w:r>
          </w:p>
        </w:tc>
        <w:tc>
          <w:tcPr>
            <w:tcW w:w="152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0</w:t>
            </w:r>
          </w:p>
        </w:tc>
        <w:tc>
          <w:tcPr>
            <w:tcW w:w="1560"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没有增减变动</w:t>
            </w:r>
          </w:p>
        </w:tc>
      </w:tr>
      <w:tr>
        <w:tblPrEx>
          <w:tblCellMar>
            <w:top w:w="0" w:type="dxa"/>
            <w:left w:w="108" w:type="dxa"/>
            <w:bottom w:w="0" w:type="dxa"/>
            <w:right w:w="108" w:type="dxa"/>
          </w:tblCellMar>
        </w:tblPrEx>
        <w:trPr>
          <w:trHeight w:val="405" w:hRule="atLeast"/>
        </w:trPr>
        <w:tc>
          <w:tcPr>
            <w:tcW w:w="232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 xml:space="preserve">   其他</w:t>
            </w:r>
          </w:p>
        </w:tc>
        <w:tc>
          <w:tcPr>
            <w:tcW w:w="154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c>
          <w:tcPr>
            <w:tcW w:w="152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c>
          <w:tcPr>
            <w:tcW w:w="156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r>
      <w:tr>
        <w:tblPrEx>
          <w:tblCellMar>
            <w:top w:w="0" w:type="dxa"/>
            <w:left w:w="108" w:type="dxa"/>
            <w:bottom w:w="0" w:type="dxa"/>
            <w:right w:w="108" w:type="dxa"/>
          </w:tblCellMar>
        </w:tblPrEx>
        <w:trPr>
          <w:trHeight w:val="405" w:hRule="atLeast"/>
        </w:trPr>
        <w:tc>
          <w:tcPr>
            <w:tcW w:w="232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二、按执行会计制度</w:t>
            </w:r>
          </w:p>
        </w:tc>
        <w:tc>
          <w:tcPr>
            <w:tcW w:w="154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c>
          <w:tcPr>
            <w:tcW w:w="152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c>
          <w:tcPr>
            <w:tcW w:w="156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r>
      <w:tr>
        <w:tblPrEx>
          <w:tblCellMar>
            <w:top w:w="0" w:type="dxa"/>
            <w:left w:w="108" w:type="dxa"/>
            <w:bottom w:w="0" w:type="dxa"/>
            <w:right w:w="108" w:type="dxa"/>
          </w:tblCellMar>
        </w:tblPrEx>
        <w:trPr>
          <w:trHeight w:val="405" w:hRule="atLeast"/>
        </w:trPr>
        <w:tc>
          <w:tcPr>
            <w:tcW w:w="232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 xml:space="preserve">   行政单位</w:t>
            </w:r>
          </w:p>
        </w:tc>
        <w:tc>
          <w:tcPr>
            <w:tcW w:w="154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c>
          <w:tcPr>
            <w:tcW w:w="152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c>
          <w:tcPr>
            <w:tcW w:w="156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r>
      <w:tr>
        <w:trPr>
          <w:trHeight w:val="405" w:hRule="atLeast"/>
        </w:trPr>
        <w:tc>
          <w:tcPr>
            <w:tcW w:w="232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 xml:space="preserve">   事业单位（含行业）</w:t>
            </w:r>
          </w:p>
        </w:tc>
        <w:tc>
          <w:tcPr>
            <w:tcW w:w="154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1</w:t>
            </w:r>
          </w:p>
        </w:tc>
        <w:tc>
          <w:tcPr>
            <w:tcW w:w="1520" w:type="dxa"/>
            <w:tcBorders>
              <w:top w:val="nil"/>
              <w:left w:val="nil"/>
              <w:bottom w:val="single" w:color="auto" w:sz="4" w:space="0"/>
              <w:right w:val="single" w:color="auto" w:sz="4" w:space="0"/>
            </w:tcBorders>
            <w:shd w:val="clear" w:color="auto" w:fill="auto"/>
            <w:noWrap/>
            <w:vAlign w:val="bottom"/>
          </w:tcPr>
          <w:p>
            <w:pPr>
              <w:jc w:val="center"/>
              <w:rPr>
                <w:rFonts w:ascii="Arial" w:hAnsi="Arial" w:eastAsia="宋体" w:cs="Arial"/>
                <w:color w:val="000000"/>
                <w:sz w:val="20"/>
                <w:szCs w:val="20"/>
                <w:lang w:eastAsia="zh-CN"/>
              </w:rPr>
            </w:pPr>
            <w:r>
              <w:rPr>
                <w:rFonts w:ascii="Arial" w:hAnsi="Arial" w:eastAsia="宋体" w:cs="Arial"/>
                <w:color w:val="000000"/>
                <w:sz w:val="20"/>
                <w:szCs w:val="20"/>
                <w:lang w:eastAsia="zh-CN"/>
              </w:rPr>
              <w:t>0</w:t>
            </w:r>
          </w:p>
        </w:tc>
        <w:tc>
          <w:tcPr>
            <w:tcW w:w="1560"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没有增减变动</w:t>
            </w:r>
          </w:p>
        </w:tc>
      </w:tr>
      <w:tr>
        <w:tblPrEx>
          <w:tblCellMar>
            <w:top w:w="0" w:type="dxa"/>
            <w:left w:w="108" w:type="dxa"/>
            <w:bottom w:w="0" w:type="dxa"/>
            <w:right w:w="108" w:type="dxa"/>
          </w:tblCellMar>
        </w:tblPrEx>
        <w:trPr>
          <w:trHeight w:val="405" w:hRule="atLeast"/>
        </w:trPr>
        <w:tc>
          <w:tcPr>
            <w:tcW w:w="232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Arial"/>
                <w:color w:val="000000"/>
                <w:sz w:val="20"/>
                <w:szCs w:val="20"/>
                <w:lang w:eastAsia="zh-CN"/>
              </w:rPr>
            </w:pPr>
            <w:r>
              <w:rPr>
                <w:rFonts w:hint="eastAsia" w:ascii="宋体" w:hAnsi="宋体" w:eastAsia="宋体" w:cs="Arial"/>
                <w:color w:val="000000"/>
                <w:sz w:val="20"/>
                <w:szCs w:val="20"/>
                <w:lang w:eastAsia="zh-CN"/>
              </w:rPr>
              <w:t xml:space="preserve">   民间非营利组织</w:t>
            </w:r>
          </w:p>
        </w:tc>
        <w:tc>
          <w:tcPr>
            <w:tcW w:w="1540" w:type="dxa"/>
            <w:tcBorders>
              <w:top w:val="nil"/>
              <w:left w:val="nil"/>
              <w:bottom w:val="single" w:color="auto" w:sz="4" w:space="0"/>
              <w:right w:val="single" w:color="auto" w:sz="4" w:space="0"/>
            </w:tcBorders>
            <w:shd w:val="clear" w:color="auto" w:fill="auto"/>
            <w:noWrap/>
            <w:vAlign w:val="bottom"/>
          </w:tcPr>
          <w:p>
            <w:pP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c>
          <w:tcPr>
            <w:tcW w:w="1520" w:type="dxa"/>
            <w:tcBorders>
              <w:top w:val="nil"/>
              <w:left w:val="nil"/>
              <w:bottom w:val="single" w:color="auto" w:sz="4" w:space="0"/>
              <w:right w:val="single" w:color="auto" w:sz="4" w:space="0"/>
            </w:tcBorders>
            <w:shd w:val="clear" w:color="auto" w:fill="auto"/>
            <w:noWrap/>
            <w:vAlign w:val="bottom"/>
          </w:tcPr>
          <w:p>
            <w:pP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c>
          <w:tcPr>
            <w:tcW w:w="1560" w:type="dxa"/>
            <w:tcBorders>
              <w:top w:val="nil"/>
              <w:left w:val="nil"/>
              <w:bottom w:val="single" w:color="auto" w:sz="4" w:space="0"/>
              <w:right w:val="single" w:color="auto" w:sz="4" w:space="0"/>
            </w:tcBorders>
            <w:shd w:val="clear" w:color="auto" w:fill="auto"/>
            <w:noWrap/>
            <w:vAlign w:val="bottom"/>
          </w:tcPr>
          <w:p>
            <w:pPr>
              <w:rPr>
                <w:rFonts w:ascii="Arial" w:hAnsi="Arial" w:eastAsia="宋体" w:cs="Arial"/>
                <w:color w:val="000000"/>
                <w:sz w:val="20"/>
                <w:szCs w:val="20"/>
                <w:lang w:eastAsia="zh-CN"/>
              </w:rPr>
            </w:pPr>
            <w:r>
              <w:rPr>
                <w:rFonts w:ascii="Arial" w:hAnsi="Arial" w:eastAsia="宋体" w:cs="Arial"/>
                <w:color w:val="000000"/>
                <w:sz w:val="20"/>
                <w:szCs w:val="20"/>
                <w:lang w:eastAsia="zh-CN"/>
              </w:rPr>
              <w:t>　</w:t>
            </w:r>
          </w:p>
        </w:tc>
      </w:tr>
    </w:tbl>
    <w:p>
      <w:pPr>
        <w:ind w:firstLine="360"/>
        <w:rPr>
          <w:rFonts w:hint="eastAsia" w:ascii="Calibri" w:hAnsi="Calibri" w:cs="Calibri"/>
          <w:sz w:val="28"/>
          <w:szCs w:val="28"/>
          <w:lang w:eastAsia="zh-CN"/>
        </w:rPr>
      </w:pPr>
      <w:r>
        <w:rPr>
          <w:rFonts w:ascii="宋体" w:hAnsi="宋体" w:eastAsia="宋体" w:cs="宋体"/>
          <w:sz w:val="28"/>
          <w:szCs w:val="28"/>
          <w:lang w:eastAsia="zh-CN"/>
        </w:rPr>
        <w:t>商业饮食服务业发展中心</w:t>
      </w:r>
      <w:r>
        <w:rPr>
          <w:rFonts w:hint="eastAsia" w:ascii="宋体" w:hAnsi="宋体" w:eastAsia="宋体" w:cs="宋体"/>
          <w:sz w:val="28"/>
          <w:szCs w:val="28"/>
          <w:lang w:eastAsia="zh-CN"/>
        </w:rPr>
        <w:t>是经费自理并执行独立核算的法人单位，202</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年度决算由本单位独立完成。</w:t>
      </w:r>
      <w:r>
        <w:rPr>
          <w:rFonts w:hint="eastAsia" w:ascii="宋体" w:hAnsi="宋体" w:eastAsia="宋体" w:cs="宋体"/>
          <w:sz w:val="28"/>
          <w:szCs w:val="28"/>
          <w:lang w:val="en-US" w:eastAsia="zh-CN"/>
        </w:rPr>
        <w:t>中心内部</w:t>
      </w:r>
      <w:r>
        <w:rPr>
          <w:rFonts w:hint="eastAsia" w:ascii="宋体" w:hAnsi="宋体" w:eastAsia="宋体" w:cs="宋体"/>
          <w:sz w:val="28"/>
          <w:szCs w:val="28"/>
          <w:lang w:eastAsia="zh-CN"/>
        </w:rPr>
        <w:t>机构设置分为：办公室、财务处、综合处等处室。</w:t>
      </w:r>
    </w:p>
    <w:p>
      <w:pPr>
        <w:ind w:firstLine="360"/>
        <w:rPr>
          <w:rFonts w:hint="eastAsia" w:ascii="Calibri" w:hAnsi="Calibri" w:cs="Calibri"/>
          <w:sz w:val="28"/>
          <w:szCs w:val="28"/>
          <w:lang w:eastAsia="zh-CN"/>
        </w:rPr>
      </w:pPr>
    </w:p>
    <w:p>
      <w:pPr>
        <w:ind w:firstLine="360"/>
        <w:rPr>
          <w:rFonts w:hint="eastAsia" w:ascii="Calibri" w:hAnsi="Calibri" w:cs="Calibri"/>
          <w:sz w:val="28"/>
          <w:szCs w:val="28"/>
          <w:lang w:eastAsia="zh-CN"/>
        </w:rPr>
      </w:pPr>
    </w:p>
    <w:p>
      <w:pPr>
        <w:ind w:firstLine="703" w:firstLineChars="250"/>
        <w:rPr>
          <w:rFonts w:hint="eastAsia" w:asciiTheme="minorEastAsia" w:hAnsiTheme="minorEastAsia"/>
          <w:b/>
          <w:sz w:val="28"/>
          <w:szCs w:val="28"/>
          <w:lang w:eastAsia="zh-CN"/>
        </w:rPr>
      </w:pPr>
      <w:r>
        <w:rPr>
          <w:rFonts w:hint="eastAsia" w:asciiTheme="minorEastAsia" w:hAnsiTheme="minorEastAsia"/>
          <w:b/>
          <w:sz w:val="28"/>
          <w:szCs w:val="28"/>
          <w:lang w:eastAsia="zh-CN"/>
        </w:rPr>
        <w:t>第二部分、202</w:t>
      </w:r>
      <w:r>
        <w:rPr>
          <w:rFonts w:hint="eastAsia" w:asciiTheme="minorEastAsia" w:hAnsiTheme="minorEastAsia"/>
          <w:b/>
          <w:sz w:val="28"/>
          <w:szCs w:val="28"/>
          <w:lang w:val="en-US" w:eastAsia="zh-CN"/>
        </w:rPr>
        <w:t>2</w:t>
      </w:r>
      <w:r>
        <w:rPr>
          <w:rFonts w:hint="eastAsia" w:asciiTheme="minorEastAsia" w:hAnsiTheme="minorEastAsia"/>
          <w:b/>
          <w:sz w:val="28"/>
          <w:szCs w:val="28"/>
          <w:lang w:eastAsia="zh-CN"/>
        </w:rPr>
        <w:t>年度部门决算表</w:t>
      </w:r>
    </w:p>
    <w:p>
      <w:pPr>
        <w:numPr>
          <w:ilvl w:val="0"/>
          <w:numId w:val="1"/>
        </w:numPr>
        <w:ind w:left="257" w:leftChars="0" w:firstLine="703" w:firstLineChars="0"/>
        <w:rPr>
          <w:rFonts w:hint="eastAsia" w:asciiTheme="minorEastAsia" w:hAnsiTheme="minorEastAsia"/>
          <w:b/>
          <w:sz w:val="28"/>
          <w:szCs w:val="28"/>
          <w:lang w:eastAsia="zh-CN"/>
        </w:rPr>
      </w:pPr>
      <w:r>
        <w:rPr>
          <w:rFonts w:hint="eastAsia" w:asciiTheme="minorEastAsia" w:hAnsiTheme="minorEastAsia"/>
          <w:b/>
          <w:sz w:val="28"/>
          <w:szCs w:val="28"/>
          <w:lang w:eastAsia="zh-CN"/>
        </w:rPr>
        <w:t>收入支出决算总表</w:t>
      </w:r>
    </w:p>
    <w:tbl>
      <w:tblPr>
        <w:tblStyle w:val="4"/>
        <w:tblW w:w="96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36"/>
        <w:gridCol w:w="656"/>
        <w:gridCol w:w="766"/>
        <w:gridCol w:w="3516"/>
        <w:gridCol w:w="672"/>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417"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1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31"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73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部门：商业饮食服务业发展中心</w:t>
            </w:r>
          </w:p>
        </w:tc>
        <w:tc>
          <w:tcPr>
            <w:tcW w:w="6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31"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58"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948"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3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56"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72"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03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33.98</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3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42.95</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697"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697"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numPr>
          <w:ilvl w:val="0"/>
          <w:numId w:val="1"/>
        </w:numPr>
        <w:ind w:left="257" w:leftChars="0" w:firstLine="703" w:firstLineChars="0"/>
        <w:jc w:val="both"/>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收入决算表</w:t>
      </w:r>
    </w:p>
    <w:tbl>
      <w:tblPr>
        <w:tblStyle w:val="4"/>
        <w:tblW w:w="94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24"/>
        <w:gridCol w:w="303"/>
        <w:gridCol w:w="240"/>
        <w:gridCol w:w="2009"/>
        <w:gridCol w:w="619"/>
        <w:gridCol w:w="619"/>
        <w:gridCol w:w="619"/>
        <w:gridCol w:w="619"/>
        <w:gridCol w:w="619"/>
        <w:gridCol w:w="619"/>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624"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0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4" w:type="dxa"/>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62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部门：商业饮食服务业发展中心</w:t>
            </w:r>
          </w:p>
        </w:tc>
        <w:tc>
          <w:tcPr>
            <w:tcW w:w="30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4" w:type="dxa"/>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61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1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61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61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61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8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6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009"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8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6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09"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8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6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09"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8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1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34.09</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33.98</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0.00</w:t>
            </w:r>
          </w:p>
        </w:tc>
        <w:tc>
          <w:tcPr>
            <w:tcW w:w="5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34.09</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33.98</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5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21507</w:t>
            </w:r>
          </w:p>
        </w:tc>
        <w:tc>
          <w:tcPr>
            <w:tcW w:w="2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国有资产监管</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34.09</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33.98</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5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6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2150799</w:t>
            </w:r>
          </w:p>
        </w:tc>
        <w:tc>
          <w:tcPr>
            <w:tcW w:w="2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其他国有资产监管支出</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34.09</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33.98</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5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67"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0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7"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0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67"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0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67"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0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67"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0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476"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numPr>
          <w:ilvl w:val="0"/>
          <w:numId w:val="0"/>
        </w:numPr>
        <w:jc w:val="both"/>
        <w:rPr>
          <w:rFonts w:hint="default" w:asciiTheme="minorEastAsia" w:hAnsiTheme="minorEastAsia"/>
          <w:b/>
          <w:sz w:val="28"/>
          <w:szCs w:val="28"/>
          <w:lang w:val="en-US" w:eastAsia="zh-CN"/>
        </w:rPr>
      </w:pPr>
    </w:p>
    <w:p>
      <w:pPr>
        <w:ind w:firstLine="565" w:firstLineChars="201"/>
        <w:jc w:val="both"/>
        <w:rPr>
          <w:rFonts w:asciiTheme="minorEastAsia" w:hAnsiTheme="minorEastAsia"/>
          <w:b/>
          <w:sz w:val="28"/>
          <w:szCs w:val="28"/>
          <w:lang w:eastAsia="zh-CN"/>
        </w:rPr>
      </w:pPr>
      <w:r>
        <w:rPr>
          <w:rFonts w:hint="eastAsia" w:asciiTheme="minorEastAsia" w:hAnsiTheme="minorEastAsia"/>
          <w:b/>
          <w:sz w:val="28"/>
          <w:szCs w:val="28"/>
          <w:lang w:eastAsia="zh-CN"/>
        </w:rPr>
        <w:t>三、支出决算表</w:t>
      </w:r>
    </w:p>
    <w:tbl>
      <w:tblPr>
        <w:tblStyle w:val="4"/>
        <w:tblW w:w="76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1"/>
        <w:gridCol w:w="325"/>
        <w:gridCol w:w="325"/>
        <w:gridCol w:w="2377"/>
        <w:gridCol w:w="623"/>
        <w:gridCol w:w="623"/>
        <w:gridCol w:w="623"/>
        <w:gridCol w:w="623"/>
        <w:gridCol w:w="623"/>
        <w:gridCol w:w="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39"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16" w:type="dxa"/>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部门：商业饮食服务业发展中心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67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7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7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7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67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7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国有资产监管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其他国有资产监管支出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hint="eastAsia"/>
          <w:lang w:eastAsia="zh-CN"/>
        </w:rPr>
      </w:pPr>
    </w:p>
    <w:p>
      <w:pPr>
        <w:rPr>
          <w:b/>
          <w:lang w:eastAsia="zh-CN"/>
        </w:rPr>
      </w:pPr>
    </w:p>
    <w:p>
      <w:pPr>
        <w:rPr>
          <w:b/>
          <w:sz w:val="28"/>
          <w:szCs w:val="28"/>
          <w:lang w:eastAsia="zh-CN"/>
        </w:rPr>
      </w:pPr>
      <w:r>
        <w:rPr>
          <w:rFonts w:hint="eastAsia"/>
          <w:b/>
          <w:sz w:val="28"/>
          <w:szCs w:val="28"/>
          <w:lang w:eastAsia="zh-CN"/>
        </w:rPr>
        <w:t>第三部分 202</w:t>
      </w:r>
      <w:r>
        <w:rPr>
          <w:rFonts w:hint="eastAsia"/>
          <w:b/>
          <w:sz w:val="28"/>
          <w:szCs w:val="28"/>
          <w:lang w:val="en-US" w:eastAsia="zh-CN"/>
        </w:rPr>
        <w:t>2</w:t>
      </w:r>
      <w:r>
        <w:rPr>
          <w:rFonts w:hint="eastAsia"/>
          <w:b/>
          <w:sz w:val="28"/>
          <w:szCs w:val="28"/>
          <w:lang w:eastAsia="zh-CN"/>
        </w:rPr>
        <w:t>年度部门决算情况说明</w:t>
      </w:r>
    </w:p>
    <w:p>
      <w:pPr>
        <w:ind w:firstLine="422" w:firstLineChars="150"/>
        <w:rPr>
          <w:rFonts w:hint="eastAsia" w:asciiTheme="minorEastAsia" w:hAnsiTheme="minorEastAsia"/>
          <w:b/>
          <w:sz w:val="28"/>
          <w:szCs w:val="28"/>
          <w:lang w:eastAsia="zh-CN"/>
        </w:rPr>
      </w:pPr>
      <w:r>
        <w:rPr>
          <w:rFonts w:hint="eastAsia" w:asciiTheme="minorEastAsia" w:hAnsiTheme="minorEastAsia"/>
          <w:b/>
          <w:sz w:val="28"/>
          <w:szCs w:val="28"/>
          <w:lang w:eastAsia="zh-CN"/>
        </w:rPr>
        <w:t>一、收入</w:t>
      </w:r>
      <w:r>
        <w:rPr>
          <w:rFonts w:hint="eastAsia" w:asciiTheme="minorEastAsia" w:hAnsiTheme="minorEastAsia"/>
          <w:b/>
          <w:sz w:val="28"/>
          <w:szCs w:val="28"/>
          <w:lang w:val="en-US" w:eastAsia="zh-CN"/>
        </w:rPr>
        <w:t>支出决算</w:t>
      </w:r>
      <w:r>
        <w:rPr>
          <w:rFonts w:hint="eastAsia" w:asciiTheme="minorEastAsia" w:hAnsiTheme="minorEastAsia"/>
          <w:b/>
          <w:sz w:val="28"/>
          <w:szCs w:val="28"/>
          <w:lang w:eastAsia="zh-CN"/>
        </w:rPr>
        <w:t>总体情况说明</w:t>
      </w:r>
    </w:p>
    <w:p>
      <w:pPr>
        <w:ind w:firstLine="700" w:firstLineChars="250"/>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2022年度收、支总计均为42.95万元。与2021年度相比，收、支总计各减少24.74万元，下降36.55%。主要是事业收入减少。</w:t>
      </w:r>
    </w:p>
    <w:p>
      <w:pPr>
        <w:ind w:firstLine="422" w:firstLineChars="150"/>
        <w:rPr>
          <w:rFonts w:hint="default" w:asciiTheme="minorEastAsia" w:hAnsiTheme="minorEastAsia"/>
          <w:b/>
          <w:sz w:val="28"/>
          <w:szCs w:val="28"/>
          <w:lang w:val="en-US" w:eastAsia="zh-CN"/>
        </w:rPr>
      </w:pPr>
      <w:r>
        <w:rPr>
          <w:rFonts w:hint="eastAsia" w:asciiTheme="minorEastAsia" w:hAnsiTheme="minorEastAsia"/>
          <w:b/>
          <w:sz w:val="28"/>
          <w:szCs w:val="28"/>
          <w:lang w:val="en-US" w:eastAsia="zh-CN"/>
        </w:rPr>
        <w:t>二、收入决算情况说明</w:t>
      </w:r>
    </w:p>
    <w:p>
      <w:pPr>
        <w:ind w:firstLine="560" w:firstLineChars="200"/>
        <w:rPr>
          <w:rFonts w:hint="default" w:cs="Arial" w:asciiTheme="minorEastAsia" w:hAnsiTheme="minorEastAsia"/>
          <w:bCs/>
          <w:color w:val="000000"/>
          <w:sz w:val="28"/>
          <w:szCs w:val="28"/>
          <w:lang w:val="en-US" w:eastAsia="zh-CN"/>
        </w:rPr>
      </w:pPr>
      <w:r>
        <w:rPr>
          <w:rFonts w:hint="eastAsia" w:asciiTheme="minorEastAsia" w:hAnsiTheme="minorEastAsia"/>
          <w:sz w:val="28"/>
          <w:szCs w:val="28"/>
          <w:lang w:eastAsia="zh-CN"/>
        </w:rPr>
        <w:t>202</w:t>
      </w:r>
      <w:r>
        <w:rPr>
          <w:rFonts w:hint="eastAsia" w:asciiTheme="minorEastAsia" w:hAnsiTheme="minorEastAsia"/>
          <w:sz w:val="28"/>
          <w:szCs w:val="28"/>
          <w:lang w:val="en-US" w:eastAsia="zh-CN"/>
        </w:rPr>
        <w:t>2</w:t>
      </w:r>
      <w:r>
        <w:rPr>
          <w:rFonts w:hint="eastAsia" w:asciiTheme="minorEastAsia" w:hAnsiTheme="minorEastAsia"/>
          <w:sz w:val="28"/>
          <w:szCs w:val="28"/>
          <w:lang w:eastAsia="zh-CN"/>
        </w:rPr>
        <w:t>年事业收入总计</w:t>
      </w:r>
      <w:r>
        <w:rPr>
          <w:rFonts w:hint="eastAsia" w:cs="Arial" w:asciiTheme="minorEastAsia" w:hAnsiTheme="minorEastAsia"/>
          <w:bCs/>
          <w:color w:val="000000"/>
          <w:sz w:val="28"/>
          <w:szCs w:val="28"/>
          <w:lang w:val="en-US" w:eastAsia="zh-CN"/>
        </w:rPr>
        <w:t>34.09</w:t>
      </w:r>
      <w:r>
        <w:rPr>
          <w:rFonts w:hint="eastAsia" w:cs="Arial" w:asciiTheme="minorEastAsia" w:hAnsiTheme="minorEastAsia"/>
          <w:bCs/>
          <w:color w:val="000000"/>
          <w:sz w:val="28"/>
          <w:szCs w:val="28"/>
          <w:lang w:eastAsia="zh-CN"/>
        </w:rPr>
        <w:t>万元，其中：事业收入</w:t>
      </w:r>
      <w:r>
        <w:rPr>
          <w:rFonts w:hint="eastAsia" w:cs="Arial" w:asciiTheme="minorEastAsia" w:hAnsiTheme="minorEastAsia"/>
          <w:bCs/>
          <w:color w:val="000000"/>
          <w:sz w:val="28"/>
          <w:szCs w:val="28"/>
          <w:lang w:val="en-US" w:eastAsia="zh-CN"/>
        </w:rPr>
        <w:t>33.98</w:t>
      </w:r>
      <w:r>
        <w:rPr>
          <w:rFonts w:hint="eastAsia" w:cs="Arial" w:asciiTheme="minorEastAsia" w:hAnsiTheme="minorEastAsia"/>
          <w:bCs/>
          <w:color w:val="000000"/>
          <w:sz w:val="28"/>
          <w:szCs w:val="28"/>
          <w:lang w:eastAsia="zh-CN"/>
        </w:rPr>
        <w:t>万元，占</w:t>
      </w:r>
      <w:r>
        <w:rPr>
          <w:rFonts w:hint="eastAsia" w:cs="Arial" w:asciiTheme="minorEastAsia" w:hAnsiTheme="minorEastAsia"/>
          <w:bCs/>
          <w:color w:val="000000"/>
          <w:sz w:val="28"/>
          <w:szCs w:val="28"/>
          <w:lang w:val="en-US" w:eastAsia="zh-CN"/>
        </w:rPr>
        <w:t>99.68</w:t>
      </w:r>
      <w:r>
        <w:rPr>
          <w:rFonts w:hint="eastAsia" w:cs="Arial" w:asciiTheme="minorEastAsia" w:hAnsiTheme="minorEastAsia"/>
          <w:bCs/>
          <w:color w:val="000000"/>
          <w:sz w:val="28"/>
          <w:szCs w:val="28"/>
          <w:lang w:eastAsia="zh-CN"/>
        </w:rPr>
        <w:t>%。</w:t>
      </w:r>
      <w:r>
        <w:rPr>
          <w:rFonts w:hint="eastAsia" w:cs="Arial" w:asciiTheme="minorEastAsia" w:hAnsiTheme="minorEastAsia"/>
          <w:bCs/>
          <w:color w:val="000000"/>
          <w:sz w:val="28"/>
          <w:szCs w:val="28"/>
          <w:lang w:val="en-US" w:eastAsia="zh-CN"/>
        </w:rPr>
        <w:t>其他收入0.11万元，</w:t>
      </w:r>
      <w:r>
        <w:rPr>
          <w:rFonts w:hint="eastAsia" w:cs="Arial" w:asciiTheme="minorEastAsia" w:hAnsiTheme="minorEastAsia"/>
          <w:bCs/>
          <w:color w:val="000000"/>
          <w:sz w:val="28"/>
          <w:szCs w:val="28"/>
          <w:lang w:eastAsia="zh-CN"/>
        </w:rPr>
        <w:t>占</w:t>
      </w:r>
      <w:r>
        <w:rPr>
          <w:rFonts w:hint="eastAsia" w:cs="Arial" w:asciiTheme="minorEastAsia" w:hAnsiTheme="minorEastAsia"/>
          <w:bCs/>
          <w:color w:val="000000"/>
          <w:sz w:val="28"/>
          <w:szCs w:val="28"/>
          <w:lang w:val="en-US" w:eastAsia="zh-CN"/>
        </w:rPr>
        <w:t>0.32</w:t>
      </w:r>
      <w:r>
        <w:rPr>
          <w:rFonts w:hint="eastAsia" w:cs="Arial" w:asciiTheme="minorEastAsia" w:hAnsiTheme="minorEastAsia"/>
          <w:bCs/>
          <w:color w:val="000000"/>
          <w:sz w:val="28"/>
          <w:szCs w:val="28"/>
          <w:lang w:eastAsia="zh-CN"/>
        </w:rPr>
        <w:t>%，经营收入</w:t>
      </w:r>
      <w:r>
        <w:rPr>
          <w:rFonts w:hint="eastAsia" w:cs="Arial" w:asciiTheme="minorEastAsia" w:hAnsiTheme="minorEastAsia"/>
          <w:bCs/>
          <w:color w:val="000000"/>
          <w:sz w:val="28"/>
          <w:szCs w:val="28"/>
          <w:lang w:val="en-US" w:eastAsia="zh-CN"/>
        </w:rPr>
        <w:t>0万元</w:t>
      </w:r>
      <w:r>
        <w:rPr>
          <w:rFonts w:hint="eastAsia" w:cs="Arial" w:asciiTheme="minorEastAsia" w:hAnsiTheme="minorEastAsia"/>
          <w:bCs/>
          <w:color w:val="000000"/>
          <w:sz w:val="28"/>
          <w:szCs w:val="28"/>
          <w:lang w:eastAsia="zh-CN"/>
        </w:rPr>
        <w:t>。均为中心对</w:t>
      </w:r>
      <w:r>
        <w:rPr>
          <w:rFonts w:hint="eastAsia" w:cs="Arial" w:asciiTheme="minorEastAsia" w:hAnsiTheme="minorEastAsia"/>
          <w:bCs/>
          <w:color w:val="000000"/>
          <w:sz w:val="28"/>
          <w:szCs w:val="28"/>
          <w:lang w:val="en-US" w:eastAsia="zh-CN"/>
        </w:rPr>
        <w:t>行业</w:t>
      </w:r>
      <w:r>
        <w:rPr>
          <w:rFonts w:hint="eastAsia" w:cs="Arial" w:asciiTheme="minorEastAsia" w:hAnsiTheme="minorEastAsia"/>
          <w:bCs/>
          <w:color w:val="000000"/>
          <w:sz w:val="28"/>
          <w:szCs w:val="28"/>
          <w:lang w:eastAsia="zh-CN"/>
        </w:rPr>
        <w:t>人员技能培训收入。</w:t>
      </w:r>
    </w:p>
    <w:p>
      <w:pPr>
        <w:ind w:firstLine="422" w:firstLineChars="150"/>
        <w:rPr>
          <w:rFonts w:asciiTheme="minorEastAsia" w:hAnsiTheme="minorEastAsia"/>
          <w:b/>
          <w:sz w:val="28"/>
          <w:szCs w:val="28"/>
          <w:lang w:eastAsia="zh-CN"/>
        </w:rPr>
      </w:pPr>
      <w:r>
        <w:rPr>
          <w:rFonts w:hint="eastAsia" w:asciiTheme="minorEastAsia" w:hAnsiTheme="minorEastAsia"/>
          <w:b/>
          <w:sz w:val="28"/>
          <w:szCs w:val="28"/>
          <w:lang w:val="en-US" w:eastAsia="zh-CN"/>
        </w:rPr>
        <w:t>三</w:t>
      </w:r>
      <w:r>
        <w:rPr>
          <w:rFonts w:hint="eastAsia" w:asciiTheme="minorEastAsia" w:hAnsiTheme="minorEastAsia"/>
          <w:b/>
          <w:sz w:val="28"/>
          <w:szCs w:val="28"/>
          <w:lang w:eastAsia="zh-CN"/>
        </w:rPr>
        <w:t>、支出</w:t>
      </w:r>
      <w:r>
        <w:rPr>
          <w:rFonts w:hint="eastAsia" w:asciiTheme="minorEastAsia" w:hAnsiTheme="minorEastAsia"/>
          <w:b/>
          <w:sz w:val="28"/>
          <w:szCs w:val="28"/>
          <w:lang w:val="en-US" w:eastAsia="zh-CN"/>
        </w:rPr>
        <w:t>决算</w:t>
      </w:r>
      <w:r>
        <w:rPr>
          <w:rFonts w:hint="eastAsia" w:asciiTheme="minorEastAsia" w:hAnsiTheme="minorEastAsia"/>
          <w:b/>
          <w:sz w:val="28"/>
          <w:szCs w:val="28"/>
          <w:lang w:eastAsia="zh-CN"/>
        </w:rPr>
        <w:t>情况</w:t>
      </w:r>
      <w:r>
        <w:rPr>
          <w:rFonts w:hint="eastAsia" w:asciiTheme="minorEastAsia" w:hAnsiTheme="minorEastAsia"/>
          <w:b/>
          <w:sz w:val="28"/>
          <w:szCs w:val="28"/>
          <w:lang w:val="en-US" w:eastAsia="zh-CN"/>
        </w:rPr>
        <w:t>说明</w:t>
      </w:r>
      <w:r>
        <w:rPr>
          <w:rFonts w:hint="eastAsia" w:asciiTheme="minorEastAsia" w:hAnsiTheme="minorEastAsia"/>
          <w:b/>
          <w:sz w:val="28"/>
          <w:szCs w:val="28"/>
          <w:lang w:eastAsia="zh-CN"/>
        </w:rPr>
        <w:t>。</w:t>
      </w:r>
    </w:p>
    <w:p>
      <w:pPr>
        <w:ind w:firstLine="700" w:firstLineChars="250"/>
        <w:rPr>
          <w:rFonts w:hint="default" w:asciiTheme="minorEastAsia" w:hAnsiTheme="minorEastAsia"/>
          <w:sz w:val="28"/>
          <w:szCs w:val="28"/>
          <w:lang w:val="en-US" w:eastAsia="zh-CN"/>
        </w:rPr>
      </w:pPr>
      <w:r>
        <w:rPr>
          <w:rFonts w:hint="eastAsia" w:asciiTheme="minorEastAsia" w:hAnsiTheme="minorEastAsia"/>
          <w:sz w:val="28"/>
          <w:szCs w:val="28"/>
          <w:lang w:eastAsia="zh-CN"/>
        </w:rPr>
        <w:t>202</w:t>
      </w:r>
      <w:r>
        <w:rPr>
          <w:rFonts w:hint="eastAsia" w:asciiTheme="minorEastAsia" w:hAnsiTheme="minorEastAsia"/>
          <w:sz w:val="28"/>
          <w:szCs w:val="28"/>
          <w:lang w:val="en-US" w:eastAsia="zh-CN"/>
        </w:rPr>
        <w:t>2</w:t>
      </w:r>
      <w:r>
        <w:rPr>
          <w:rFonts w:hint="eastAsia" w:asciiTheme="minorEastAsia" w:hAnsiTheme="minorEastAsia"/>
          <w:sz w:val="28"/>
          <w:szCs w:val="28"/>
          <w:lang w:eastAsia="zh-CN"/>
        </w:rPr>
        <w:t>年度支出</w:t>
      </w:r>
      <w:r>
        <w:rPr>
          <w:rFonts w:hint="eastAsia" w:asciiTheme="minorEastAsia" w:hAnsiTheme="minorEastAsia"/>
          <w:sz w:val="28"/>
          <w:szCs w:val="28"/>
          <w:lang w:val="en-US" w:eastAsia="zh-CN"/>
        </w:rPr>
        <w:t>合计42.95</w:t>
      </w:r>
      <w:r>
        <w:rPr>
          <w:rFonts w:hint="eastAsia" w:asciiTheme="minorEastAsia" w:hAnsiTheme="minorEastAsia"/>
          <w:sz w:val="28"/>
          <w:szCs w:val="28"/>
          <w:lang w:eastAsia="zh-CN"/>
        </w:rPr>
        <w:t>万元，</w:t>
      </w:r>
      <w:r>
        <w:rPr>
          <w:rFonts w:hint="eastAsia" w:asciiTheme="minorEastAsia" w:hAnsiTheme="minorEastAsia"/>
          <w:sz w:val="28"/>
          <w:szCs w:val="28"/>
          <w:lang w:val="en-US" w:eastAsia="zh-CN"/>
        </w:rPr>
        <w:t>基本支出42.95</w:t>
      </w:r>
      <w:r>
        <w:rPr>
          <w:rFonts w:hint="eastAsia" w:asciiTheme="minorEastAsia" w:hAnsiTheme="minorEastAsia"/>
          <w:sz w:val="28"/>
          <w:szCs w:val="28"/>
          <w:lang w:eastAsia="zh-CN"/>
        </w:rPr>
        <w:t>万元</w:t>
      </w:r>
      <w:r>
        <w:rPr>
          <w:rFonts w:hint="eastAsia" w:asciiTheme="minorEastAsia" w:hAnsiTheme="minorEastAsia"/>
          <w:sz w:val="28"/>
          <w:szCs w:val="28"/>
          <w:lang w:val="en-US" w:eastAsia="zh-CN"/>
        </w:rPr>
        <w:t>。项目支出0万元，经营支出0万元。</w:t>
      </w:r>
    </w:p>
    <w:p>
      <w:pPr>
        <w:ind w:firstLine="700" w:firstLineChars="250"/>
        <w:rPr>
          <w:rFonts w:asciiTheme="minorEastAsia" w:hAnsiTheme="minorEastAsia"/>
          <w:sz w:val="28"/>
          <w:szCs w:val="28"/>
          <w:lang w:eastAsia="zh-CN"/>
        </w:rPr>
      </w:pPr>
      <w:r>
        <w:rPr>
          <w:rFonts w:hint="eastAsia" w:asciiTheme="minorEastAsia" w:hAnsiTheme="minorEastAsia"/>
          <w:sz w:val="28"/>
          <w:szCs w:val="28"/>
          <w:lang w:eastAsia="zh-CN"/>
        </w:rPr>
        <w:t>其中：</w:t>
      </w:r>
      <w:r>
        <w:rPr>
          <w:rFonts w:hint="eastAsia" w:asciiTheme="minorEastAsia" w:hAnsiTheme="minorEastAsia"/>
          <w:sz w:val="28"/>
          <w:szCs w:val="28"/>
          <w:lang w:val="en-US" w:eastAsia="zh-CN"/>
        </w:rPr>
        <w:t>商品和</w:t>
      </w:r>
      <w:r>
        <w:rPr>
          <w:rFonts w:hint="eastAsia" w:asciiTheme="minorEastAsia" w:hAnsiTheme="minorEastAsia"/>
          <w:sz w:val="28"/>
          <w:szCs w:val="28"/>
          <w:lang w:eastAsia="zh-CN"/>
        </w:rPr>
        <w:t>服务支出</w:t>
      </w:r>
      <w:r>
        <w:rPr>
          <w:rFonts w:hint="eastAsia" w:asciiTheme="minorEastAsia" w:hAnsiTheme="minorEastAsia"/>
          <w:sz w:val="28"/>
          <w:szCs w:val="28"/>
          <w:lang w:val="en-US" w:eastAsia="zh-CN"/>
        </w:rPr>
        <w:t>15.31</w:t>
      </w:r>
      <w:r>
        <w:rPr>
          <w:rFonts w:hint="eastAsia" w:asciiTheme="minorEastAsia" w:hAnsiTheme="minorEastAsia"/>
          <w:sz w:val="28"/>
          <w:szCs w:val="28"/>
          <w:lang w:eastAsia="zh-CN"/>
        </w:rPr>
        <w:t>万元，占</w:t>
      </w:r>
      <w:r>
        <w:rPr>
          <w:rFonts w:hint="eastAsia" w:asciiTheme="minorEastAsia" w:hAnsiTheme="minorEastAsia"/>
          <w:sz w:val="28"/>
          <w:szCs w:val="28"/>
          <w:lang w:val="en-US" w:eastAsia="zh-CN"/>
        </w:rPr>
        <w:t>35.61</w:t>
      </w:r>
      <w:r>
        <w:rPr>
          <w:rFonts w:hint="eastAsia" w:asciiTheme="minorEastAsia" w:hAnsiTheme="minorEastAsia"/>
          <w:sz w:val="28"/>
          <w:szCs w:val="28"/>
          <w:lang w:eastAsia="zh-CN"/>
        </w:rPr>
        <w:t>%；工资福利支出</w:t>
      </w:r>
      <w:r>
        <w:rPr>
          <w:rFonts w:hint="eastAsia" w:asciiTheme="minorEastAsia" w:hAnsiTheme="minorEastAsia"/>
          <w:sz w:val="28"/>
          <w:szCs w:val="28"/>
          <w:lang w:val="en-US" w:eastAsia="zh-CN"/>
        </w:rPr>
        <w:t>19.06</w:t>
      </w:r>
      <w:r>
        <w:rPr>
          <w:rFonts w:hint="eastAsia" w:asciiTheme="minorEastAsia" w:hAnsiTheme="minorEastAsia"/>
          <w:sz w:val="28"/>
          <w:szCs w:val="28"/>
          <w:lang w:eastAsia="zh-CN"/>
        </w:rPr>
        <w:t>万元，占</w:t>
      </w:r>
      <w:r>
        <w:rPr>
          <w:rFonts w:hint="eastAsia" w:asciiTheme="minorEastAsia" w:hAnsiTheme="minorEastAsia"/>
          <w:sz w:val="28"/>
          <w:szCs w:val="28"/>
          <w:lang w:val="en-US" w:eastAsia="zh-CN"/>
        </w:rPr>
        <w:t>44.38</w:t>
      </w:r>
      <w:r>
        <w:rPr>
          <w:rFonts w:hint="eastAsia" w:asciiTheme="minorEastAsia" w:hAnsiTheme="minorEastAsia"/>
          <w:sz w:val="28"/>
          <w:szCs w:val="28"/>
          <w:lang w:eastAsia="zh-CN"/>
        </w:rPr>
        <w:t>%；其他支出</w:t>
      </w:r>
      <w:r>
        <w:rPr>
          <w:rFonts w:hint="eastAsia" w:asciiTheme="minorEastAsia" w:hAnsiTheme="minorEastAsia"/>
          <w:sz w:val="28"/>
          <w:szCs w:val="28"/>
          <w:lang w:val="en-US" w:eastAsia="zh-CN"/>
        </w:rPr>
        <w:t>8.58</w:t>
      </w:r>
      <w:r>
        <w:rPr>
          <w:rFonts w:hint="eastAsia" w:asciiTheme="minorEastAsia" w:hAnsiTheme="minorEastAsia"/>
          <w:sz w:val="28"/>
          <w:szCs w:val="28"/>
          <w:lang w:eastAsia="zh-CN"/>
        </w:rPr>
        <w:t>万元，占</w:t>
      </w:r>
      <w:r>
        <w:rPr>
          <w:rFonts w:hint="eastAsia" w:asciiTheme="minorEastAsia" w:hAnsiTheme="minorEastAsia"/>
          <w:sz w:val="28"/>
          <w:szCs w:val="28"/>
          <w:lang w:val="en-US" w:eastAsia="zh-CN"/>
        </w:rPr>
        <w:t>20.1</w:t>
      </w:r>
      <w:r>
        <w:rPr>
          <w:rFonts w:hint="eastAsia" w:asciiTheme="minorEastAsia" w:hAnsiTheme="minorEastAsia"/>
          <w:sz w:val="28"/>
          <w:szCs w:val="28"/>
          <w:lang w:eastAsia="zh-CN"/>
        </w:rPr>
        <w:t xml:space="preserve">%。          </w:t>
      </w:r>
    </w:p>
    <w:p>
      <w:pPr>
        <w:numPr>
          <w:ilvl w:val="0"/>
          <w:numId w:val="2"/>
        </w:numPr>
        <w:ind w:left="20" w:leftChars="0" w:firstLine="70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、商品和</w:t>
      </w:r>
      <w:r>
        <w:rPr>
          <w:rFonts w:hint="eastAsia" w:asciiTheme="minorEastAsia" w:hAnsiTheme="minorEastAsia"/>
          <w:sz w:val="28"/>
          <w:szCs w:val="28"/>
          <w:lang w:eastAsia="zh-CN"/>
        </w:rPr>
        <w:t>服务支出主要用于</w:t>
      </w:r>
      <w:r>
        <w:rPr>
          <w:rFonts w:hint="eastAsia" w:asciiTheme="minorEastAsia" w:hAnsiTheme="minorEastAsia"/>
          <w:sz w:val="28"/>
          <w:szCs w:val="28"/>
          <w:lang w:val="en-US" w:eastAsia="zh-CN"/>
        </w:rPr>
        <w:t>中心</w:t>
      </w:r>
      <w:r>
        <w:rPr>
          <w:rFonts w:hint="eastAsia" w:asciiTheme="minorEastAsia" w:hAnsiTheme="minorEastAsia"/>
          <w:sz w:val="28"/>
          <w:szCs w:val="28"/>
          <w:lang w:eastAsia="zh-CN"/>
        </w:rPr>
        <w:t>正常运转的基本支出。</w:t>
      </w:r>
      <w:r>
        <w:rPr>
          <w:rFonts w:hint="eastAsia" w:asciiTheme="minorEastAsia" w:hAnsiTheme="minorEastAsia"/>
          <w:sz w:val="28"/>
          <w:szCs w:val="28"/>
          <w:lang w:val="en-US" w:eastAsia="zh-CN"/>
        </w:rPr>
        <w:t>年初预算未20万元，支出决算15.31万元，完成年初预算的77%，决算数小于预算数的主要原因是房租费用，部分计入待摊费用。</w:t>
      </w:r>
    </w:p>
    <w:p>
      <w:pPr>
        <w:numPr>
          <w:ilvl w:val="0"/>
          <w:numId w:val="2"/>
        </w:numPr>
        <w:ind w:left="20" w:leftChars="0" w:firstLine="70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、工资及福利支出</w:t>
      </w:r>
      <w:r>
        <w:rPr>
          <w:rFonts w:hint="eastAsia" w:asciiTheme="minorEastAsia" w:hAnsiTheme="minorEastAsia"/>
          <w:sz w:val="28"/>
          <w:szCs w:val="28"/>
          <w:lang w:eastAsia="zh-CN"/>
        </w:rPr>
        <w:t>主要用于</w:t>
      </w:r>
      <w:r>
        <w:rPr>
          <w:rFonts w:hint="eastAsia" w:asciiTheme="minorEastAsia" w:hAnsiTheme="minorEastAsia"/>
          <w:sz w:val="28"/>
          <w:szCs w:val="28"/>
          <w:lang w:val="en-US" w:eastAsia="zh-CN"/>
        </w:rPr>
        <w:t>中心</w:t>
      </w:r>
      <w:r>
        <w:rPr>
          <w:rFonts w:hint="eastAsia" w:asciiTheme="minorEastAsia" w:hAnsiTheme="minorEastAsia"/>
          <w:sz w:val="28"/>
          <w:szCs w:val="28"/>
          <w:lang w:eastAsia="zh-CN"/>
        </w:rPr>
        <w:t>人员</w:t>
      </w:r>
      <w:r>
        <w:rPr>
          <w:rFonts w:hint="eastAsia" w:asciiTheme="minorEastAsia" w:hAnsiTheme="minorEastAsia"/>
          <w:sz w:val="28"/>
          <w:szCs w:val="28"/>
          <w:lang w:val="en-US" w:eastAsia="zh-CN"/>
        </w:rPr>
        <w:t>工社会保障和就业支出</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年初预算未27万元，支出决算19.06万元，完成年初预算的71%，决算数小于预算数的主要原因是，当年一人离职。</w:t>
      </w:r>
    </w:p>
    <w:p>
      <w:pPr>
        <w:numPr>
          <w:ilvl w:val="0"/>
          <w:numId w:val="0"/>
        </w:numPr>
        <w:ind w:left="720" w:left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w:t>
      </w:r>
      <w:r>
        <w:rPr>
          <w:rFonts w:hint="eastAsia" w:asciiTheme="minorEastAsia" w:hAnsiTheme="minorEastAsia"/>
          <w:sz w:val="28"/>
          <w:szCs w:val="28"/>
          <w:lang w:eastAsia="zh-CN"/>
        </w:rPr>
        <w:t>其他支出</w:t>
      </w:r>
      <w:r>
        <w:rPr>
          <w:rFonts w:hint="eastAsia" w:asciiTheme="minorEastAsia" w:hAnsiTheme="minorEastAsia"/>
          <w:sz w:val="28"/>
          <w:szCs w:val="28"/>
          <w:lang w:val="en-US" w:eastAsia="zh-CN"/>
        </w:rPr>
        <w:t>主要用于退休人员</w:t>
      </w:r>
      <w:r>
        <w:rPr>
          <w:rFonts w:hint="eastAsia" w:asciiTheme="minorEastAsia" w:hAnsiTheme="minorEastAsia"/>
          <w:sz w:val="28"/>
          <w:szCs w:val="28"/>
          <w:lang w:eastAsia="zh-CN"/>
        </w:rPr>
        <w:t>个人和家庭补助</w:t>
      </w:r>
      <w:r>
        <w:rPr>
          <w:rFonts w:hint="eastAsia" w:asciiTheme="minorEastAsia" w:hAnsiTheme="minorEastAsia"/>
          <w:sz w:val="28"/>
          <w:szCs w:val="28"/>
          <w:lang w:val="en-US" w:eastAsia="zh-CN"/>
        </w:rPr>
        <w:t>支出。年初预算10万元，支出决算8.58万元，完成年初预算的85.8%。</w:t>
      </w:r>
    </w:p>
    <w:p>
      <w:pPr>
        <w:ind w:firstLine="700" w:firstLineChars="250"/>
        <w:rPr>
          <w:rFonts w:hint="eastAsia" w:asciiTheme="minorEastAsia" w:hAnsiTheme="minorEastAsia"/>
          <w:sz w:val="28"/>
          <w:szCs w:val="28"/>
          <w:lang w:eastAsia="zh-CN"/>
        </w:rPr>
      </w:pPr>
    </w:p>
    <w:p>
      <w:pPr>
        <w:numPr>
          <w:ilvl w:val="0"/>
          <w:numId w:val="0"/>
        </w:numPr>
        <w:ind w:left="960" w:leftChars="0"/>
        <w:rPr>
          <w:rFonts w:hint="eastAsia" w:asciiTheme="minorEastAsia" w:hAnsiTheme="minorEastAsia"/>
          <w:sz w:val="28"/>
          <w:szCs w:val="28"/>
          <w:lang w:val="en-US" w:eastAsia="zh-CN"/>
        </w:rPr>
      </w:pPr>
      <w:r>
        <w:rPr>
          <w:rFonts w:hint="eastAsia" w:asciiTheme="minorEastAsia" w:hAnsiTheme="minorEastAsia"/>
          <w:b/>
          <w:sz w:val="28"/>
          <w:szCs w:val="28"/>
          <w:lang w:val="en-US" w:eastAsia="zh-CN"/>
        </w:rPr>
        <w:t>四</w:t>
      </w:r>
      <w:r>
        <w:rPr>
          <w:rFonts w:hint="eastAsia" w:asciiTheme="minorEastAsia" w:hAnsiTheme="minorEastAsia"/>
          <w:b/>
          <w:sz w:val="28"/>
          <w:szCs w:val="28"/>
          <w:lang w:eastAsia="zh-CN"/>
        </w:rPr>
        <w:t>、</w:t>
      </w:r>
      <w:r>
        <w:rPr>
          <w:rFonts w:hint="eastAsia" w:asciiTheme="minorEastAsia" w:hAnsiTheme="minorEastAsia"/>
          <w:sz w:val="28"/>
          <w:szCs w:val="28"/>
          <w:lang w:val="en-US" w:eastAsia="zh-CN"/>
        </w:rPr>
        <w:t xml:space="preserve"> 国有资产占用情况</w:t>
      </w:r>
    </w:p>
    <w:p>
      <w:pPr>
        <w:numPr>
          <w:ilvl w:val="0"/>
          <w:numId w:val="0"/>
        </w:numPr>
        <w:ind w:leftChars="25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截至202</w:t>
      </w:r>
      <w:r>
        <w:rPr>
          <w:rFonts w:hint="eastAsia" w:asciiTheme="minorEastAsia" w:hAnsiTheme="minorEastAsia"/>
          <w:sz w:val="28"/>
          <w:szCs w:val="28"/>
          <w:lang w:val="en-US" w:eastAsia="zh-CN"/>
        </w:rPr>
        <w:t>2</w:t>
      </w:r>
      <w:r>
        <w:rPr>
          <w:rFonts w:hint="default" w:asciiTheme="minorEastAsia" w:hAnsiTheme="minorEastAsia"/>
          <w:sz w:val="28"/>
          <w:szCs w:val="28"/>
          <w:lang w:val="en-US" w:eastAsia="zh-CN"/>
        </w:rPr>
        <w:t>年12月31日，</w:t>
      </w:r>
      <w:r>
        <w:rPr>
          <w:rFonts w:hint="eastAsia" w:asciiTheme="minorEastAsia" w:hAnsiTheme="minorEastAsia"/>
          <w:sz w:val="28"/>
          <w:szCs w:val="28"/>
          <w:lang w:val="en-US" w:eastAsia="zh-CN"/>
        </w:rPr>
        <w:t>中心固定资产35.5万元，其中轿车</w:t>
      </w:r>
      <w:r>
        <w:rPr>
          <w:rFonts w:hint="default" w:asciiTheme="minorEastAsia" w:hAnsiTheme="minorEastAsia"/>
          <w:sz w:val="28"/>
          <w:szCs w:val="28"/>
          <w:lang w:val="en-US" w:eastAsia="zh-CN"/>
        </w:rPr>
        <w:t>1辆</w:t>
      </w:r>
      <w:r>
        <w:rPr>
          <w:rFonts w:hint="eastAsia" w:asciiTheme="minorEastAsia" w:hAnsiTheme="minorEastAsia"/>
          <w:sz w:val="28"/>
          <w:szCs w:val="28"/>
          <w:lang w:val="en-US" w:eastAsia="zh-CN"/>
        </w:rPr>
        <w:t>，24.7万元；</w:t>
      </w:r>
      <w:r>
        <w:rPr>
          <w:rFonts w:hint="default" w:asciiTheme="minorEastAsia" w:hAnsiTheme="minorEastAsia"/>
          <w:sz w:val="28"/>
          <w:szCs w:val="28"/>
          <w:lang w:val="en-US" w:eastAsia="zh-CN"/>
        </w:rPr>
        <w:t>通用设备</w:t>
      </w:r>
      <w:r>
        <w:rPr>
          <w:rFonts w:hint="eastAsia" w:asciiTheme="minorEastAsia" w:hAnsiTheme="minorEastAsia"/>
          <w:sz w:val="28"/>
          <w:szCs w:val="28"/>
          <w:lang w:val="en-US" w:eastAsia="zh-CN"/>
        </w:rPr>
        <w:t>16</w:t>
      </w:r>
      <w:r>
        <w:rPr>
          <w:rFonts w:hint="default" w:asciiTheme="minorEastAsia" w:hAnsiTheme="minorEastAsia"/>
          <w:sz w:val="28"/>
          <w:szCs w:val="28"/>
          <w:lang w:val="en-US" w:eastAsia="zh-CN"/>
        </w:rPr>
        <w:t>台（套）</w:t>
      </w:r>
      <w:r>
        <w:rPr>
          <w:rFonts w:hint="eastAsia" w:asciiTheme="minorEastAsia" w:hAnsiTheme="minorEastAsia"/>
          <w:sz w:val="28"/>
          <w:szCs w:val="28"/>
          <w:lang w:val="en-US" w:eastAsia="zh-CN"/>
        </w:rPr>
        <w:t>，10.01万元；办公桌椅1套，0.7万元</w:t>
      </w: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2022年度无新增资产。</w:t>
      </w:r>
    </w:p>
    <w:p>
      <w:pPr>
        <w:ind w:firstLine="700" w:firstLineChars="250"/>
        <w:rPr>
          <w:rFonts w:asciiTheme="minorEastAsia" w:hAnsiTheme="minorEastAsia"/>
          <w:sz w:val="28"/>
          <w:szCs w:val="28"/>
          <w:lang w:eastAsia="zh-CN"/>
        </w:rPr>
      </w:pPr>
    </w:p>
    <w:p>
      <w:pPr>
        <w:ind w:firstLine="703" w:firstLineChars="250"/>
        <w:rPr>
          <w:rFonts w:asciiTheme="minorEastAsia" w:hAnsiTheme="minorEastAsia"/>
          <w:b/>
          <w:sz w:val="28"/>
          <w:szCs w:val="28"/>
          <w:lang w:eastAsia="zh-CN"/>
        </w:rPr>
      </w:pPr>
      <w:r>
        <w:rPr>
          <w:rFonts w:hint="eastAsia" w:asciiTheme="minorEastAsia" w:hAnsiTheme="minorEastAsia"/>
          <w:b/>
          <w:sz w:val="28"/>
          <w:szCs w:val="28"/>
          <w:lang w:val="en-US" w:eastAsia="zh-CN"/>
        </w:rPr>
        <w:t>五</w:t>
      </w:r>
      <w:r>
        <w:rPr>
          <w:rFonts w:hint="eastAsia" w:asciiTheme="minorEastAsia" w:hAnsiTheme="minorEastAsia"/>
          <w:b/>
          <w:sz w:val="28"/>
          <w:szCs w:val="28"/>
          <w:lang w:eastAsia="zh-CN"/>
        </w:rPr>
        <w:t>、预算绩效情况说明</w:t>
      </w:r>
    </w:p>
    <w:p>
      <w:pPr>
        <w:ind w:firstLine="570"/>
        <w:rPr>
          <w:rFonts w:asciiTheme="minorEastAsia" w:hAnsiTheme="minorEastAsia"/>
          <w:sz w:val="28"/>
          <w:szCs w:val="28"/>
          <w:lang w:eastAsia="zh-CN"/>
        </w:rPr>
      </w:pPr>
      <w:r>
        <w:rPr>
          <w:rFonts w:hint="eastAsia" w:asciiTheme="minorEastAsia" w:hAnsiTheme="minorEastAsia"/>
          <w:sz w:val="28"/>
          <w:szCs w:val="28"/>
          <w:lang w:eastAsia="zh-CN"/>
        </w:rPr>
        <w:t>根据预算绩效管理要求，我中心组织对 202</w:t>
      </w:r>
      <w:r>
        <w:rPr>
          <w:rFonts w:hint="eastAsia" w:asciiTheme="minorEastAsia" w:hAnsiTheme="minorEastAsia"/>
          <w:sz w:val="28"/>
          <w:szCs w:val="28"/>
          <w:lang w:val="en-US" w:eastAsia="zh-CN"/>
        </w:rPr>
        <w:t>2</w:t>
      </w:r>
      <w:r>
        <w:rPr>
          <w:rFonts w:hint="eastAsia" w:asciiTheme="minorEastAsia" w:hAnsiTheme="minorEastAsia"/>
          <w:sz w:val="28"/>
          <w:szCs w:val="28"/>
          <w:lang w:eastAsia="zh-CN"/>
        </w:rPr>
        <w:t>年度</w:t>
      </w:r>
      <w:r>
        <w:rPr>
          <w:rFonts w:hint="eastAsia" w:asciiTheme="minorEastAsia" w:hAnsiTheme="minorEastAsia"/>
          <w:sz w:val="28"/>
          <w:szCs w:val="28"/>
          <w:lang w:val="en-US" w:eastAsia="zh-CN"/>
        </w:rPr>
        <w:t>一般公共</w:t>
      </w:r>
      <w:r>
        <w:rPr>
          <w:rFonts w:hint="eastAsia" w:asciiTheme="minorEastAsia" w:hAnsiTheme="minorEastAsia"/>
          <w:sz w:val="28"/>
          <w:szCs w:val="28"/>
          <w:lang w:eastAsia="zh-CN"/>
        </w:rPr>
        <w:t>预算支出全面开展绩效评价。</w:t>
      </w:r>
      <w:r>
        <w:rPr>
          <w:rFonts w:hint="eastAsia" w:asciiTheme="minorEastAsia" w:hAnsiTheme="minorEastAsia"/>
          <w:sz w:val="28"/>
          <w:szCs w:val="28"/>
          <w:lang w:val="en-US" w:eastAsia="zh-CN"/>
        </w:rPr>
        <w:t>为</w:t>
      </w:r>
      <w:r>
        <w:rPr>
          <w:rFonts w:hint="eastAsia" w:asciiTheme="minorEastAsia" w:hAnsiTheme="minorEastAsia"/>
          <w:sz w:val="28"/>
          <w:szCs w:val="28"/>
          <w:lang w:eastAsia="zh-CN"/>
        </w:rPr>
        <w:t>强化预算管理，促进“决算是对预算执行情况的反映”要求的落实，中心主任办公室牵头，按照会计管理开展了部门评价，涉及到事业收入完成进度，一般服务类支出，为下一年制定预算提供经验。</w:t>
      </w:r>
    </w:p>
    <w:p>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eastAsia="zh-CN"/>
        </w:rPr>
        <w:t>制度建设方面。</w:t>
      </w:r>
      <w:r>
        <w:rPr>
          <w:rFonts w:hint="eastAsia" w:asciiTheme="minorEastAsia" w:hAnsiTheme="minorEastAsia"/>
          <w:sz w:val="28"/>
          <w:szCs w:val="28"/>
          <w:lang w:val="en-US" w:eastAsia="zh-CN"/>
        </w:rPr>
        <w:t>完善</w:t>
      </w:r>
      <w:r>
        <w:rPr>
          <w:rFonts w:hint="eastAsia" w:asciiTheme="minorEastAsia" w:hAnsiTheme="minorEastAsia"/>
          <w:sz w:val="28"/>
          <w:szCs w:val="28"/>
          <w:lang w:eastAsia="zh-CN"/>
        </w:rPr>
        <w:t>了财务管理制度、资产管理办法、预算绩效实施管理办法、合同管理办法</w:t>
      </w:r>
      <w:r>
        <w:rPr>
          <w:rFonts w:hint="eastAsia" w:asciiTheme="minorEastAsia" w:hAnsiTheme="minorEastAsia"/>
          <w:sz w:val="28"/>
          <w:szCs w:val="28"/>
          <w:lang w:val="en-US" w:eastAsia="zh-CN"/>
        </w:rPr>
        <w:t>及工作流程</w:t>
      </w:r>
      <w:r>
        <w:rPr>
          <w:rFonts w:hint="eastAsia" w:asciiTheme="minorEastAsia" w:hAnsiTheme="minorEastAsia"/>
          <w:sz w:val="28"/>
          <w:szCs w:val="28"/>
          <w:lang w:eastAsia="zh-CN"/>
        </w:rPr>
        <w:t>。</w:t>
      </w:r>
    </w:p>
    <w:p>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eastAsia="zh-CN"/>
        </w:rPr>
        <w:t>管理制度健全，</w:t>
      </w:r>
      <w:r>
        <w:rPr>
          <w:rFonts w:hint="eastAsia" w:asciiTheme="minorEastAsia" w:hAnsiTheme="minorEastAsia"/>
          <w:sz w:val="28"/>
          <w:szCs w:val="28"/>
          <w:lang w:val="en-US" w:eastAsia="zh-CN"/>
        </w:rPr>
        <w:t>流程</w:t>
      </w:r>
      <w:r>
        <w:rPr>
          <w:rFonts w:hint="eastAsia" w:asciiTheme="minorEastAsia" w:hAnsiTheme="minorEastAsia"/>
          <w:sz w:val="28"/>
          <w:szCs w:val="28"/>
          <w:lang w:eastAsia="zh-CN"/>
        </w:rPr>
        <w:t>管控措施有效，各项工作有序开展；财务管理制度完善，资金使用规范有效；</w:t>
      </w:r>
      <w:r>
        <w:rPr>
          <w:rFonts w:hint="eastAsia" w:asciiTheme="minorEastAsia" w:hAnsiTheme="minorEastAsia"/>
          <w:sz w:val="28"/>
          <w:szCs w:val="28"/>
          <w:lang w:val="en-US" w:eastAsia="zh-CN"/>
        </w:rPr>
        <w:t>全年各项工作</w:t>
      </w:r>
      <w:r>
        <w:rPr>
          <w:rFonts w:hint="eastAsia" w:asciiTheme="minorEastAsia" w:hAnsiTheme="minorEastAsia"/>
          <w:sz w:val="28"/>
          <w:szCs w:val="28"/>
          <w:lang w:eastAsia="zh-CN"/>
        </w:rPr>
        <w:t>完成率高，达到了预期效果。</w:t>
      </w:r>
    </w:p>
    <w:p>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eastAsia="zh-CN"/>
        </w:rPr>
        <w:t>202</w:t>
      </w:r>
      <w:r>
        <w:rPr>
          <w:rFonts w:hint="eastAsia" w:asciiTheme="minorEastAsia" w:hAnsiTheme="minorEastAsia"/>
          <w:sz w:val="28"/>
          <w:szCs w:val="28"/>
          <w:lang w:val="en-US" w:eastAsia="zh-CN"/>
        </w:rPr>
        <w:t>2</w:t>
      </w:r>
      <w:r>
        <w:rPr>
          <w:rFonts w:hint="eastAsia" w:asciiTheme="minorEastAsia" w:hAnsiTheme="minorEastAsia"/>
          <w:sz w:val="28"/>
          <w:szCs w:val="28"/>
          <w:lang w:eastAsia="zh-CN"/>
        </w:rPr>
        <w:t>年度</w:t>
      </w:r>
      <w:r>
        <w:rPr>
          <w:rFonts w:hint="eastAsia" w:asciiTheme="minorEastAsia" w:hAnsiTheme="minorEastAsia"/>
          <w:sz w:val="28"/>
          <w:szCs w:val="28"/>
          <w:lang w:val="en-US" w:eastAsia="zh-CN"/>
        </w:rPr>
        <w:t>决算</w:t>
      </w:r>
      <w:r>
        <w:rPr>
          <w:rFonts w:hint="eastAsia" w:asciiTheme="minorEastAsia" w:hAnsiTheme="minorEastAsia"/>
          <w:sz w:val="28"/>
          <w:szCs w:val="28"/>
          <w:lang w:eastAsia="zh-CN"/>
        </w:rPr>
        <w:t>支出</w:t>
      </w:r>
      <w:r>
        <w:rPr>
          <w:rFonts w:hint="eastAsia" w:asciiTheme="minorEastAsia" w:hAnsiTheme="minorEastAsia"/>
          <w:sz w:val="28"/>
          <w:szCs w:val="28"/>
          <w:lang w:val="en-US" w:eastAsia="zh-CN"/>
        </w:rPr>
        <w:t>42.95</w:t>
      </w:r>
      <w:r>
        <w:rPr>
          <w:rFonts w:hint="eastAsia" w:asciiTheme="minorEastAsia" w:hAnsiTheme="minorEastAsia"/>
          <w:sz w:val="28"/>
          <w:szCs w:val="28"/>
          <w:lang w:eastAsia="zh-CN"/>
        </w:rPr>
        <w:t>万元，比上年决算数</w:t>
      </w:r>
      <w:r>
        <w:rPr>
          <w:rFonts w:hint="eastAsia" w:asciiTheme="minorEastAsia" w:hAnsiTheme="minorEastAsia"/>
          <w:sz w:val="28"/>
          <w:szCs w:val="28"/>
          <w:lang w:val="en-US" w:eastAsia="zh-CN"/>
        </w:rPr>
        <w:t>增加6.28</w:t>
      </w:r>
      <w:r>
        <w:rPr>
          <w:rFonts w:hint="eastAsia" w:asciiTheme="minorEastAsia" w:hAnsiTheme="minorEastAsia"/>
          <w:sz w:val="28"/>
          <w:szCs w:val="28"/>
          <w:lang w:eastAsia="zh-CN"/>
        </w:rPr>
        <w:t>万元，</w:t>
      </w:r>
      <w:r>
        <w:rPr>
          <w:rFonts w:hint="eastAsia" w:asciiTheme="minorEastAsia" w:hAnsiTheme="minorEastAsia"/>
          <w:sz w:val="28"/>
          <w:szCs w:val="28"/>
          <w:lang w:val="en-US" w:eastAsia="zh-CN"/>
        </w:rPr>
        <w:t>增加17.15%，增加值在合理范围内</w:t>
      </w:r>
      <w:r>
        <w:rPr>
          <w:rFonts w:hint="eastAsia" w:asciiTheme="minorEastAsia" w:hAnsiTheme="minorEastAsia"/>
          <w:sz w:val="28"/>
          <w:szCs w:val="28"/>
          <w:lang w:eastAsia="zh-CN"/>
        </w:rPr>
        <w:t>。</w:t>
      </w:r>
    </w:p>
    <w:p>
      <w:pPr>
        <w:numPr>
          <w:ilvl w:val="0"/>
          <w:numId w:val="0"/>
        </w:numPr>
        <w:ind w:leftChars="250"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四、其他</w:t>
      </w:r>
    </w:p>
    <w:p>
      <w:pPr>
        <w:ind w:firstLine="562" w:firstLineChars="200"/>
        <w:rPr>
          <w:rFonts w:hint="eastAsia" w:asciiTheme="minorEastAsia" w:hAnsiTheme="minorEastAsia"/>
          <w:b/>
          <w:sz w:val="28"/>
          <w:szCs w:val="28"/>
          <w:lang w:eastAsia="zh-CN"/>
        </w:rPr>
      </w:pPr>
      <w:r>
        <w:rPr>
          <w:rFonts w:hint="eastAsia" w:asciiTheme="minorEastAsia" w:hAnsiTheme="minorEastAsia"/>
          <w:b/>
          <w:sz w:val="28"/>
          <w:szCs w:val="28"/>
          <w:lang w:eastAsia="zh-CN"/>
        </w:rPr>
        <w:t>第四部分 名词解释</w:t>
      </w:r>
    </w:p>
    <w:p>
      <w:pPr>
        <w:ind w:firstLine="420" w:firstLineChars="150"/>
        <w:rPr>
          <w:rFonts w:asciiTheme="minorEastAsia" w:hAnsiTheme="minorEastAsia"/>
          <w:sz w:val="28"/>
          <w:szCs w:val="28"/>
          <w:lang w:eastAsia="zh-CN"/>
        </w:rPr>
      </w:pPr>
      <w:r>
        <w:rPr>
          <w:rFonts w:hint="eastAsia" w:asciiTheme="minorEastAsia" w:hAnsiTheme="minorEastAsia"/>
          <w:sz w:val="28"/>
          <w:szCs w:val="28"/>
          <w:lang w:eastAsia="zh-CN"/>
        </w:rPr>
        <w:t>一、事业收入：指事业单位开展专业业务活动及辅助活动所取得的收入。</w:t>
      </w:r>
    </w:p>
    <w:p>
      <w:pPr>
        <w:ind w:firstLine="420" w:firstLineChars="150"/>
        <w:rPr>
          <w:rFonts w:asciiTheme="minorEastAsia" w:hAnsiTheme="minorEastAsia"/>
          <w:sz w:val="28"/>
          <w:szCs w:val="28"/>
          <w:lang w:eastAsia="zh-CN"/>
        </w:rPr>
      </w:pPr>
      <w:r>
        <w:rPr>
          <w:rFonts w:hint="eastAsia" w:asciiTheme="minorEastAsia" w:hAnsiTheme="minorEastAsia"/>
          <w:sz w:val="28"/>
          <w:szCs w:val="28"/>
          <w:lang w:eastAsia="zh-CN"/>
        </w:rPr>
        <w:t>二、其他收入：除财政拨款收入、事业收入、上级补助收入、经营收入、投资收益、捐赠收入、利息收入、租赁收入等以外的各项收入。</w:t>
      </w:r>
    </w:p>
    <w:p>
      <w:pPr>
        <w:ind w:firstLine="420" w:firstLineChars="150"/>
        <w:rPr>
          <w:rFonts w:asciiTheme="minorEastAsia" w:hAnsiTheme="minorEastAsia"/>
          <w:sz w:val="28"/>
          <w:szCs w:val="28"/>
          <w:lang w:eastAsia="zh-CN"/>
        </w:rPr>
      </w:pPr>
      <w:r>
        <w:rPr>
          <w:rFonts w:hint="eastAsia" w:asciiTheme="minorEastAsia" w:hAnsiTheme="minorEastAsia"/>
          <w:sz w:val="28"/>
          <w:szCs w:val="28"/>
          <w:lang w:eastAsia="zh-CN"/>
        </w:rPr>
        <w:t>三、事业支出：指</w:t>
      </w:r>
      <w:r>
        <w:rPr>
          <w:rFonts w:hint="eastAsia" w:asciiTheme="minorEastAsia" w:hAnsiTheme="minorEastAsia"/>
          <w:sz w:val="28"/>
          <w:szCs w:val="28"/>
          <w:lang w:val="en-US" w:eastAsia="zh-CN"/>
        </w:rPr>
        <w:t>为</w:t>
      </w:r>
      <w:r>
        <w:rPr>
          <w:rFonts w:hint="eastAsia" w:asciiTheme="minorEastAsia" w:hAnsiTheme="minorEastAsia"/>
          <w:sz w:val="28"/>
          <w:szCs w:val="28"/>
          <w:lang w:eastAsia="zh-CN"/>
        </w:rPr>
        <w:t>保障机构正常运转、完成日常工作任务而发生的人员支出和公用支出。</w:t>
      </w:r>
    </w:p>
    <w:p>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eastAsia="zh-CN"/>
        </w:rPr>
        <w:t>四、使用非财政拨款结余：指事业单位使用以前年度积累的非财政拨款结余弥补当年收支差额的金额。</w:t>
      </w:r>
    </w:p>
    <w:p>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eastAsia="zh-CN"/>
        </w:rPr>
        <w:t>五、年度结转结余：指单位以前年度尚未完成结转到本年度仍按原规定用途继续使用的资金。</w:t>
      </w:r>
    </w:p>
    <w:p>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val="en-US" w:eastAsia="zh-CN"/>
        </w:rPr>
        <w:t>六、</w:t>
      </w:r>
      <w:r>
        <w:rPr>
          <w:rFonts w:hint="eastAsia" w:asciiTheme="minorEastAsia" w:hAnsiTheme="minorEastAsia"/>
          <w:sz w:val="28"/>
          <w:szCs w:val="28"/>
          <w:lang w:eastAsia="zh-CN"/>
        </w:rPr>
        <w:t>事业单位基本养老保险缴费支出（项）：反映机关事业单位实施养老保险制度由单位缴纳的基本养老保险费支出。</w:t>
      </w:r>
    </w:p>
    <w:p>
      <w:pPr>
        <w:ind w:firstLine="560" w:firstLineChars="200"/>
        <w:rPr>
          <w:rFonts w:hint="eastAsia" w:asciiTheme="minorEastAsia" w:hAnsiTheme="minorEastAsia"/>
          <w:sz w:val="28"/>
          <w:szCs w:val="28"/>
          <w:lang w:eastAsia="zh-CN"/>
        </w:rPr>
      </w:pPr>
    </w:p>
    <w:p>
      <w:pPr>
        <w:ind w:firstLine="3780" w:firstLineChars="1350"/>
        <w:rPr>
          <w:rFonts w:hint="eastAsia" w:asciiTheme="minorEastAsia" w:hAnsiTheme="minorEastAsia"/>
          <w:sz w:val="28"/>
          <w:szCs w:val="28"/>
          <w:lang w:eastAsia="zh-CN"/>
        </w:rPr>
      </w:pPr>
    </w:p>
    <w:p>
      <w:pPr>
        <w:ind w:firstLine="3780" w:firstLineChars="1350"/>
        <w:rPr>
          <w:rFonts w:hint="eastAsia" w:asciiTheme="minorEastAsia" w:hAnsiTheme="minorEastAsia"/>
          <w:sz w:val="28"/>
          <w:szCs w:val="28"/>
          <w:lang w:eastAsia="zh-CN"/>
        </w:rPr>
      </w:pPr>
    </w:p>
    <w:p>
      <w:pPr>
        <w:ind w:firstLine="3780" w:firstLineChars="1350"/>
        <w:rPr>
          <w:rFonts w:asciiTheme="minorEastAsia" w:hAnsiTheme="minorEastAsia"/>
          <w:sz w:val="28"/>
          <w:szCs w:val="28"/>
          <w:lang w:eastAsia="zh-CN"/>
        </w:rPr>
      </w:pPr>
      <w:r>
        <w:rPr>
          <w:rFonts w:hint="eastAsia" w:asciiTheme="minorEastAsia" w:hAnsiTheme="minorEastAsia"/>
          <w:sz w:val="28"/>
          <w:szCs w:val="28"/>
          <w:lang w:eastAsia="zh-CN"/>
        </w:rPr>
        <w:t>商业饮食服务业发展中心</w:t>
      </w:r>
    </w:p>
    <w:p>
      <w:pPr>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 xml:space="preserve">                         二零二</w:t>
      </w:r>
      <w:r>
        <w:rPr>
          <w:rFonts w:hint="eastAsia" w:asciiTheme="minorEastAsia" w:hAnsiTheme="minorEastAsia"/>
          <w:sz w:val="28"/>
          <w:szCs w:val="28"/>
          <w:lang w:val="en-US" w:eastAsia="zh-CN"/>
        </w:rPr>
        <w:t>三</w:t>
      </w:r>
      <w:r>
        <w:rPr>
          <w:rFonts w:hint="eastAsia" w:asciiTheme="minorEastAsia" w:hAnsiTheme="minorEastAsia"/>
          <w:sz w:val="28"/>
          <w:szCs w:val="28"/>
          <w:lang w:eastAsia="zh-CN"/>
        </w:rPr>
        <w:t>年八月</w:t>
      </w:r>
      <w:r>
        <w:rPr>
          <w:rFonts w:hint="eastAsia" w:asciiTheme="minorEastAsia" w:hAnsiTheme="minorEastAsia"/>
          <w:sz w:val="28"/>
          <w:szCs w:val="28"/>
          <w:lang w:val="en-US" w:eastAsia="zh-CN"/>
        </w:rPr>
        <w:t>一</w:t>
      </w:r>
      <w:r>
        <w:rPr>
          <w:rFonts w:hint="eastAsia" w:asciiTheme="minorEastAsia" w:hAnsiTheme="minorEastAsia"/>
          <w:sz w:val="28"/>
          <w:szCs w:val="28"/>
          <w:lang w:eastAsia="zh-CN"/>
        </w:rPr>
        <w:t>日</w:t>
      </w:r>
    </w:p>
    <w:sectPr>
      <w:pgSz w:w="11906" w:h="16838"/>
      <w:pgMar w:top="1440" w:right="1416" w:bottom="1440"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HNWFP+TimesNewRomanPS-BoldMT">
    <w:altName w:val="Segoe Print"/>
    <w:panose1 w:val="00000000000000000000"/>
    <w:charset w:val="01"/>
    <w:family w:val="auto"/>
    <w:pitch w:val="default"/>
    <w:sig w:usb0="00000000" w:usb1="00000000" w:usb2="01010101" w:usb3="01010101" w:csb0="01010101" w:csb1="01010101"/>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BE740"/>
    <w:multiLevelType w:val="singleLevel"/>
    <w:tmpl w:val="E64BE740"/>
    <w:lvl w:ilvl="0" w:tentative="0">
      <w:start w:val="1"/>
      <w:numFmt w:val="chineseCounting"/>
      <w:suff w:val="nothing"/>
      <w:lvlText w:val="%1、"/>
      <w:lvlJc w:val="left"/>
      <w:pPr>
        <w:ind w:left="257"/>
      </w:pPr>
      <w:rPr>
        <w:rFonts w:hint="eastAsia"/>
      </w:rPr>
    </w:lvl>
  </w:abstractNum>
  <w:abstractNum w:abstractNumId="1">
    <w:nsid w:val="21158D6A"/>
    <w:multiLevelType w:val="singleLevel"/>
    <w:tmpl w:val="21158D6A"/>
    <w:lvl w:ilvl="0" w:tentative="0">
      <w:start w:val="1"/>
      <w:numFmt w:val="decimal"/>
      <w:suff w:val="nothing"/>
      <w:lvlText w:val="（%1）"/>
      <w:lvlJc w:val="left"/>
      <w:pPr>
        <w:ind w:left="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5Y2NkYzg4MTc2ZmM2NWIzNWUwMmFiNmQ2NTA0NTQifQ=="/>
  </w:docVars>
  <w:rsids>
    <w:rsidRoot w:val="00951CF7"/>
    <w:rsid w:val="00011BC4"/>
    <w:rsid w:val="00031A8D"/>
    <w:rsid w:val="000E01A6"/>
    <w:rsid w:val="00185952"/>
    <w:rsid w:val="001A38E1"/>
    <w:rsid w:val="001D7196"/>
    <w:rsid w:val="002136A3"/>
    <w:rsid w:val="00290798"/>
    <w:rsid w:val="002E2D40"/>
    <w:rsid w:val="003A443E"/>
    <w:rsid w:val="003E32E3"/>
    <w:rsid w:val="00450F44"/>
    <w:rsid w:val="00532E6D"/>
    <w:rsid w:val="0055056B"/>
    <w:rsid w:val="005D44AA"/>
    <w:rsid w:val="005E59A5"/>
    <w:rsid w:val="005F6EF3"/>
    <w:rsid w:val="0060332E"/>
    <w:rsid w:val="00694297"/>
    <w:rsid w:val="006F6336"/>
    <w:rsid w:val="007D1B47"/>
    <w:rsid w:val="007F294B"/>
    <w:rsid w:val="007F444F"/>
    <w:rsid w:val="00841285"/>
    <w:rsid w:val="008F10EF"/>
    <w:rsid w:val="00904FD2"/>
    <w:rsid w:val="00951CF7"/>
    <w:rsid w:val="00A10249"/>
    <w:rsid w:val="00A2333B"/>
    <w:rsid w:val="00A322FB"/>
    <w:rsid w:val="00BD5F83"/>
    <w:rsid w:val="00BD7838"/>
    <w:rsid w:val="00C11326"/>
    <w:rsid w:val="00C22C01"/>
    <w:rsid w:val="00C734C0"/>
    <w:rsid w:val="00D5614E"/>
    <w:rsid w:val="00E91246"/>
    <w:rsid w:val="00ED0076"/>
    <w:rsid w:val="00F05EA8"/>
    <w:rsid w:val="00F2204D"/>
    <w:rsid w:val="00F316C7"/>
    <w:rsid w:val="06A74ED5"/>
    <w:rsid w:val="149B6E8C"/>
    <w:rsid w:val="1B1D6580"/>
    <w:rsid w:val="20E406FC"/>
    <w:rsid w:val="21D4251F"/>
    <w:rsid w:val="2C1F083A"/>
    <w:rsid w:val="31A83F40"/>
    <w:rsid w:val="38293D1D"/>
    <w:rsid w:val="388F0CB0"/>
    <w:rsid w:val="450308A1"/>
    <w:rsid w:val="4C9D6094"/>
    <w:rsid w:val="4D096C71"/>
    <w:rsid w:val="4D0C4EAD"/>
    <w:rsid w:val="53346A12"/>
    <w:rsid w:val="540D151D"/>
    <w:rsid w:val="58244A32"/>
    <w:rsid w:val="5B9E743A"/>
    <w:rsid w:val="5E970DB8"/>
    <w:rsid w:val="5EE774E4"/>
    <w:rsid w:val="604C1EAC"/>
    <w:rsid w:val="67537A22"/>
    <w:rsid w:val="72D52E80"/>
    <w:rsid w:val="75091655"/>
    <w:rsid w:val="756179FE"/>
    <w:rsid w:val="7F8F7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widowControl w:val="0"/>
      <w:tabs>
        <w:tab w:val="center" w:pos="4153"/>
        <w:tab w:val="right" w:pos="8306"/>
      </w:tabs>
      <w:snapToGrid w:val="0"/>
    </w:pPr>
    <w:rPr>
      <w:rFonts w:asciiTheme="minorHAnsi" w:hAnsiTheme="minorHAnsi" w:cstheme="minorBidi"/>
      <w:kern w:val="2"/>
      <w:sz w:val="18"/>
      <w:szCs w:val="18"/>
      <w:lang w:eastAsia="zh-CN"/>
    </w:rPr>
  </w:style>
  <w:style w:type="paragraph" w:styleId="3">
    <w:name w:val="header"/>
    <w:basedOn w:val="1"/>
    <w:link w:val="6"/>
    <w:semiHidden/>
    <w:unhideWhenUsed/>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lang w:eastAsia="zh-CN"/>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Toshiba</Company>
  <Pages>8</Pages>
  <Words>2725</Words>
  <Characters>3312</Characters>
  <Lines>24</Lines>
  <Paragraphs>6</Paragraphs>
  <TotalTime>4</TotalTime>
  <ScaleCrop>false</ScaleCrop>
  <LinksUpToDate>false</LinksUpToDate>
  <CharactersWithSpaces>3403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2021-07-27T08:05:00Z</dcterms:created>
  <dc:creator>toshiba</dc:creator>
  <cp:lastModifiedBy>郎</cp:lastModifiedBy>
  <dcterms:modified xsi:type="dcterms:W3CDTF">2023-08-01T08:42:52Z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BBA7DA4D7E144DACBB0C4979FB9EC718</vt:lpwstr>
  </property>
</Properties>
</file>